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2C3" w:rsidRDefault="003322C3" w:rsidP="003322C3">
      <w:pPr>
        <w:spacing w:after="200" w:line="276" w:lineRule="auto"/>
        <w:jc w:val="both"/>
        <w:rPr>
          <w:i/>
          <w:iCs/>
        </w:rPr>
      </w:pPr>
      <w:r>
        <w:rPr>
          <w:i/>
          <w:iCs/>
        </w:rPr>
        <w:t>Vážení,</w:t>
      </w:r>
    </w:p>
    <w:p w:rsidR="003322C3" w:rsidRDefault="003322C3" w:rsidP="003322C3">
      <w:pPr>
        <w:spacing w:after="200" w:line="276" w:lineRule="auto"/>
        <w:jc w:val="both"/>
        <w:rPr>
          <w:i/>
          <w:iCs/>
        </w:rPr>
      </w:pPr>
      <w:r>
        <w:rPr>
          <w:i/>
          <w:iCs/>
        </w:rPr>
        <w:t>Ministerstvo financí, Odbor 73 – Procesní agendy a regulace hazardu, si Vás tímto dovoluje oslovit s informacemi k otázce posouzení a evidence údajů uvedených v osvědčeních o provozuschopnosti koncových zařízení technické hry (dále jen „koncové zařízení“), se kterými se obecní úřady setkávají  při výkonu své působnosti na úseku regulace hazardních her dle zákona č. 186/2016 Sb., o hazardních hrách, ve znění pozdějších předpisů (dále jen „zákon o hazardních hrách“).</w:t>
      </w:r>
    </w:p>
    <w:p w:rsidR="003322C3" w:rsidRDefault="003322C3" w:rsidP="003322C3">
      <w:pPr>
        <w:spacing w:after="200" w:line="276" w:lineRule="auto"/>
        <w:jc w:val="both"/>
        <w:rPr>
          <w:i/>
          <w:iCs/>
        </w:rPr>
      </w:pPr>
      <w:r>
        <w:rPr>
          <w:i/>
          <w:iCs/>
        </w:rPr>
        <w:t>Podle ustanovení § 99 odst. 1 zákona o hazardních hrách jsou údaje o typu, výrobním čísle a počtu herních pozic koncového zařízení, jejich prostřednictvím je hazardní hra provozována, náležitostmi žádosti o povolení k umístění herního prostoru. Dané údaje jsou pak podle § 98 odst. 2 zákona o hazardních hrách uvedeny i v samotném povolení k umístění herního prostoru vydaném příslušným obecním úřadem a v souladu se směrnicí Ministerstva financí č. MF 929/2017/3404-9 jsou některé tyto informace poskytovány do informačního systému SDSL. Typ, výrobní číslo a počet herních pozic koncového zařízení jsou pak uvedeny i v osvědčení o provozuschopnosti pro koncové zařízení. Toto osvědčení pak je podle § 99 odst. 2 písm. c) zákona o hazardních hrách nutnou přílohou žádosti o vydání povolení k umístění herního prostoru.</w:t>
      </w:r>
    </w:p>
    <w:p w:rsidR="003322C3" w:rsidRDefault="003322C3" w:rsidP="003322C3">
      <w:pPr>
        <w:spacing w:after="200" w:line="276" w:lineRule="auto"/>
        <w:jc w:val="both"/>
        <w:rPr>
          <w:i/>
          <w:iCs/>
        </w:rPr>
      </w:pPr>
    </w:p>
    <w:p w:rsidR="003322C3" w:rsidRDefault="003322C3" w:rsidP="003322C3">
      <w:pPr>
        <w:spacing w:after="200" w:line="276" w:lineRule="auto"/>
        <w:jc w:val="both"/>
        <w:rPr>
          <w:i/>
          <w:iCs/>
        </w:rPr>
      </w:pPr>
      <w:r>
        <w:rPr>
          <w:i/>
          <w:iCs/>
        </w:rPr>
        <w:t>Vzhledem k nejednotné praxi osob pověřených k odbornému posuzování a osvědčování při vydávání osvědčení o provozuschopnosti se vyskytují případy, kdy je jako údaj označený jako „výrobní číslo zařízení“ uveden bez zvláštního rozlišení jak typ koncového zařízení, tak i jeho výrobní číslo. V takovém osvědčení o provozuschopnosti (tato osvědčení byla vydávána zpravidla z počátku náběhu nové právní úpravy) pak může tento údaj být typicky uveden např. v  následující podobě:</w:t>
      </w:r>
    </w:p>
    <w:p w:rsidR="003322C3" w:rsidRDefault="003322C3" w:rsidP="003322C3">
      <w:pPr>
        <w:spacing w:after="200" w:line="276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„Výrobní číslo přístroje: FV – 610  705280“</w:t>
      </w:r>
    </w:p>
    <w:p w:rsidR="003322C3" w:rsidRDefault="003322C3" w:rsidP="003322C3">
      <w:pPr>
        <w:spacing w:after="200" w:line="276" w:lineRule="auto"/>
        <w:jc w:val="both"/>
        <w:rPr>
          <w:i/>
          <w:iCs/>
        </w:rPr>
      </w:pPr>
      <w:r>
        <w:rPr>
          <w:i/>
          <w:iCs/>
        </w:rPr>
        <w:t>Kde „</w:t>
      </w:r>
      <w:r>
        <w:rPr>
          <w:b/>
          <w:bCs/>
          <w:i/>
          <w:iCs/>
        </w:rPr>
        <w:t>FV-610</w:t>
      </w:r>
      <w:r>
        <w:rPr>
          <w:i/>
          <w:iCs/>
        </w:rPr>
        <w:t>“ představuje údaj o typu koncového zařízení, „</w:t>
      </w:r>
      <w:r>
        <w:rPr>
          <w:b/>
          <w:bCs/>
          <w:i/>
          <w:iCs/>
        </w:rPr>
        <w:t>705280</w:t>
      </w:r>
      <w:r>
        <w:rPr>
          <w:i/>
          <w:iCs/>
        </w:rPr>
        <w:t>“ pak představuje samotné výrobní číslo koncového zařízení.</w:t>
      </w:r>
    </w:p>
    <w:p w:rsidR="003322C3" w:rsidRDefault="003322C3" w:rsidP="003322C3">
      <w:pPr>
        <w:spacing w:after="200" w:line="276" w:lineRule="auto"/>
        <w:jc w:val="both"/>
        <w:rPr>
          <w:i/>
          <w:iCs/>
        </w:rPr>
      </w:pPr>
      <w:r>
        <w:rPr>
          <w:b/>
          <w:bCs/>
          <w:i/>
          <w:iCs/>
        </w:rPr>
        <w:t>„FV – 610  705280“</w:t>
      </w:r>
      <w:r>
        <w:rPr>
          <w:i/>
          <w:iCs/>
        </w:rPr>
        <w:t xml:space="preserve"> pak</w:t>
      </w:r>
      <w:r>
        <w:rPr>
          <w:b/>
          <w:bCs/>
          <w:i/>
          <w:iCs/>
        </w:rPr>
        <w:t xml:space="preserve"> </w:t>
      </w:r>
      <w:r>
        <w:rPr>
          <w:i/>
          <w:iCs/>
        </w:rPr>
        <w:t>je v některých případech jako výrobní číslo koncového zařízení uvedeno v příslušném povolení k umístění herního prostoru a rovněž v IS SDSL.</w:t>
      </w:r>
    </w:p>
    <w:p w:rsidR="003322C3" w:rsidRDefault="003322C3" w:rsidP="003322C3">
      <w:pPr>
        <w:spacing w:after="200" w:line="276" w:lineRule="auto"/>
        <w:jc w:val="both"/>
        <w:rPr>
          <w:i/>
          <w:iCs/>
        </w:rPr>
      </w:pPr>
      <w:r>
        <w:rPr>
          <w:i/>
          <w:iCs/>
        </w:rPr>
        <w:t>V aktuálně vydávaných osvědčeních o provozuschopnosti koncového zařízení jsou tyto údaje již zpravidla uváděny samostatně. V novém osvědčení o provozuschopnosti vydaném pro totožné koncové zařízení tedy mohou být uvedeny v následující podobě:</w:t>
      </w:r>
    </w:p>
    <w:p w:rsidR="003322C3" w:rsidRDefault="003322C3" w:rsidP="003322C3">
      <w:pPr>
        <w:spacing w:after="200" w:line="276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„Výrobní číslo přístroje: 705280“</w:t>
      </w:r>
    </w:p>
    <w:p w:rsidR="003322C3" w:rsidRDefault="003322C3" w:rsidP="003322C3">
      <w:pPr>
        <w:spacing w:after="200" w:line="276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„Typ koncového zařízení: FV 610“</w:t>
      </w:r>
    </w:p>
    <w:p w:rsidR="003322C3" w:rsidRDefault="003322C3" w:rsidP="003322C3">
      <w:pPr>
        <w:spacing w:after="200" w:line="276" w:lineRule="auto"/>
        <w:jc w:val="both"/>
        <w:rPr>
          <w:i/>
          <w:iCs/>
        </w:rPr>
      </w:pPr>
      <w:r>
        <w:rPr>
          <w:i/>
          <w:iCs/>
        </w:rPr>
        <w:t xml:space="preserve">V blízké době některá osvědčení o provozuschopnosti, která byla vydána s platností 2 let, uplynou své platnosti. Provozovatel je však dle podmínky uvedené v základním povolení povinen doložit obecnímu úřadu, který povolení k umístění herního prostoru vydal, nové osvědčení o provozuschopnosti, a to nejpozději 30 dnů před uplynutím platnosti původního osvědčení o provozuschopnosti. </w:t>
      </w:r>
    </w:p>
    <w:p w:rsidR="003322C3" w:rsidRDefault="003322C3" w:rsidP="003322C3">
      <w:pPr>
        <w:spacing w:after="200" w:line="276" w:lineRule="auto"/>
        <w:jc w:val="both"/>
        <w:rPr>
          <w:i/>
          <w:iCs/>
        </w:rPr>
      </w:pPr>
      <w:r>
        <w:rPr>
          <w:i/>
          <w:iCs/>
        </w:rPr>
        <w:t xml:space="preserve">Výše uvedený rozdíl ve způsobu, jakým jsou dané údaje uvedeny v osvědčení o provozuschopnosti, pak může vyústit ve zdánlivou nepřípustnost nově vydaného osvědčení o provozuschopnosti pro stávající </w:t>
      </w:r>
      <w:r>
        <w:rPr>
          <w:i/>
          <w:iCs/>
        </w:rPr>
        <w:lastRenderedPageBreak/>
        <w:t>koncové zařízení, kdy toto bude zdánlivě vydáno pro koncové zařízení s odlišným výrobním číslem. Při dodání nového osvědčení o provozuschopnosti namísto stávajícího osvědčení, jehož platnost končí, tak může dojít k situaci, kdy je pro koncové zařízení uvedené v povolení k umístění herního prostoru uvedeno výrobní číslo přístroje „</w:t>
      </w:r>
      <w:r>
        <w:rPr>
          <w:b/>
          <w:bCs/>
          <w:i/>
          <w:iCs/>
        </w:rPr>
        <w:t>FV – 610  705280</w:t>
      </w:r>
      <w:r>
        <w:rPr>
          <w:i/>
          <w:iCs/>
        </w:rPr>
        <w:t xml:space="preserve">“, nicméně v nově dodaném platném osvědčení o provozuschopnosti bude uvedeno výrobní číslo přístroje </w:t>
      </w:r>
      <w:r>
        <w:rPr>
          <w:b/>
          <w:bCs/>
          <w:i/>
          <w:iCs/>
        </w:rPr>
        <w:t xml:space="preserve">„705280“. </w:t>
      </w:r>
      <w:r>
        <w:rPr>
          <w:i/>
          <w:iCs/>
        </w:rPr>
        <w:t>Při pouhém mechanickém porovnání výrobního čísla uvedeného v povolení k umístění herního prostoru a výrobního čísla uvedeného v nově dokládaném osvědčení o provozuschopnosti, se tak může nabízet závěr, že se jedná o osvědčení o provozuschopnosti pro odlišné koncové zařízení. Provozování odlišného koncového zařízení, než jaké je uvedeno v povolení k umístění herního prostoru, by pak vyžadovalo změnu povolení k umístění herního prostoru dle § 102 zákona o hazardních hrách.</w:t>
      </w:r>
    </w:p>
    <w:p w:rsidR="003322C3" w:rsidRDefault="003322C3" w:rsidP="003322C3">
      <w:pPr>
        <w:spacing w:after="200" w:line="276" w:lineRule="auto"/>
        <w:jc w:val="both"/>
        <w:rPr>
          <w:b/>
          <w:bCs/>
          <w:i/>
          <w:iCs/>
        </w:rPr>
      </w:pPr>
      <w:r>
        <w:rPr>
          <w:i/>
          <w:iCs/>
        </w:rPr>
        <w:t xml:space="preserve">Výše uvedený postup, kdy by pouhá změna ve formě, v níž jsou uvedené údaje uváděny v osvědčení o provozuschopnosti, vyžadovala změnu povolení k umístění herního prostoru, nepovažuje Ministerstvo financí za žádoucí. Domníváme se, že platné osvědčení o provozuschopnosti koncového zařízení, u nějž dojde k výše nastíněné odlišnosti, </w:t>
      </w:r>
      <w:r>
        <w:rPr>
          <w:b/>
          <w:bCs/>
          <w:i/>
          <w:iCs/>
        </w:rPr>
        <w:t>je</w:t>
      </w:r>
      <w:r>
        <w:rPr>
          <w:i/>
          <w:iCs/>
        </w:rPr>
        <w:t> </w:t>
      </w:r>
      <w:r>
        <w:rPr>
          <w:b/>
          <w:bCs/>
          <w:i/>
          <w:iCs/>
        </w:rPr>
        <w:t xml:space="preserve">možné akceptovat jako platné osvědčení pro již provozované koncové zařízení. </w:t>
      </w:r>
      <w:r>
        <w:rPr>
          <w:i/>
          <w:iCs/>
        </w:rPr>
        <w:t xml:space="preserve">Obecní úřad tak za předpokladu, že provozovatel doložil ke všem koncovým zařízením osvědčení o provozuschopnosti, u nichž během 30 dní dojde k uplynutí platnosti, </w:t>
      </w:r>
      <w:r>
        <w:rPr>
          <w:b/>
          <w:bCs/>
          <w:i/>
          <w:iCs/>
        </w:rPr>
        <w:t xml:space="preserve">nevydává nové povolení k umístění herního prostoru. </w:t>
      </w:r>
    </w:p>
    <w:p w:rsidR="003322C3" w:rsidRDefault="003322C3" w:rsidP="003322C3">
      <w:pPr>
        <w:spacing w:after="200" w:line="276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Ministerstvo financí však doporučuje v rámci další změny povolení k umístění herního prostoru upravit údaje o typu a výrobním čísle koncového zařízení, případně i herních pozicích uvedené v povolení k umístění herního prostoru tak, aby korespondovaly s údaji v nově doložených osvědčeních o provozuschopnosti. Tyto informace je rovněž nutné upravit v IS SDSL při zadávání změnového rozhodnutí.</w:t>
      </w:r>
    </w:p>
    <w:p w:rsidR="003322C3" w:rsidRDefault="003322C3" w:rsidP="003322C3">
      <w:pPr>
        <w:spacing w:after="200" w:line="276" w:lineRule="auto"/>
        <w:jc w:val="both"/>
        <w:rPr>
          <w:i/>
          <w:iCs/>
        </w:rPr>
      </w:pPr>
    </w:p>
    <w:p w:rsidR="003322C3" w:rsidRDefault="003322C3" w:rsidP="003322C3">
      <w:pPr>
        <w:spacing w:after="200" w:line="276" w:lineRule="auto"/>
        <w:jc w:val="both"/>
        <w:rPr>
          <w:i/>
          <w:iCs/>
        </w:rPr>
      </w:pPr>
      <w:r>
        <w:rPr>
          <w:i/>
          <w:iCs/>
        </w:rPr>
        <w:t>S ohledem na výše uvedené si Vás dále dovolujeme upozornit na povinnost poskytnout při novém dodání osvědčení o provozuschopnosti provozovatelem v souladu se směrnicí Ministerstva financí</w:t>
      </w:r>
      <w:r>
        <w:rPr>
          <w:i/>
          <w:iCs/>
        </w:rPr>
        <w:br/>
        <w:t xml:space="preserve">č. j. MF-929/2017/3404-9 údaje o výrobním čísle koncového zařízení do informačního systému SDSL, a to zasláním na emailovou adresu </w:t>
      </w:r>
      <w:hyperlink r:id="rId4" w:history="1">
        <w:r>
          <w:rPr>
            <w:rStyle w:val="Hypertextovodkaz"/>
            <w:i/>
            <w:iCs/>
          </w:rPr>
          <w:t>HelpdeskSDSL@mfcr.cz</w:t>
        </w:r>
      </w:hyperlink>
      <w:r>
        <w:rPr>
          <w:i/>
          <w:iCs/>
          <w:lang w:val="en-GB"/>
        </w:rPr>
        <w:t>.</w:t>
      </w:r>
    </w:p>
    <w:p w:rsidR="003322C3" w:rsidRDefault="003322C3" w:rsidP="003322C3">
      <w:pPr>
        <w:spacing w:after="200" w:line="276" w:lineRule="auto"/>
        <w:jc w:val="both"/>
        <w:rPr>
          <w:i/>
          <w:iCs/>
        </w:rPr>
      </w:pPr>
      <w:r>
        <w:rPr>
          <w:i/>
          <w:iCs/>
        </w:rPr>
        <w:t>Údaje v zasílaném emailu je pak nutné uvést prostřednictvím tabulky dle níže uvedeného vzoru, v níž bude uvedeno jak výrobní číslo koncového zařízení technické hry, tak číslo příslušného osvědčení o provozuschopnosti. Samotné dokumenty osvědčení o provozuschopnosti není třeba přikládat.</w:t>
      </w:r>
    </w:p>
    <w:p w:rsidR="003322C3" w:rsidRDefault="003322C3" w:rsidP="003322C3">
      <w:pPr>
        <w:spacing w:after="200" w:line="276" w:lineRule="auto"/>
        <w:jc w:val="both"/>
        <w:rPr>
          <w:i/>
          <w:iCs/>
        </w:rPr>
      </w:pPr>
    </w:p>
    <w:tbl>
      <w:tblPr>
        <w:tblW w:w="8946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3"/>
        <w:gridCol w:w="4253"/>
      </w:tblGrid>
      <w:tr w:rsidR="003322C3" w:rsidTr="003322C3">
        <w:trPr>
          <w:trHeight w:val="300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322C3" w:rsidRDefault="003322C3">
            <w:pPr>
              <w:spacing w:after="200" w:line="276" w:lineRule="auto"/>
              <w:jc w:val="center"/>
              <w:rPr>
                <w:i/>
                <w:iCs/>
                <w:lang w:val="en-GB" w:eastAsia="cs-CZ"/>
              </w:rPr>
            </w:pPr>
            <w:proofErr w:type="spellStart"/>
            <w:r>
              <w:rPr>
                <w:i/>
                <w:iCs/>
                <w:lang w:val="en-GB" w:eastAsia="cs-CZ"/>
              </w:rPr>
              <w:t>Výrobní</w:t>
            </w:r>
            <w:proofErr w:type="spellEnd"/>
            <w:r>
              <w:rPr>
                <w:i/>
                <w:iCs/>
                <w:lang w:val="en-GB" w:eastAsia="cs-CZ"/>
              </w:rPr>
              <w:t xml:space="preserve"> </w:t>
            </w:r>
            <w:proofErr w:type="spellStart"/>
            <w:r>
              <w:rPr>
                <w:i/>
                <w:iCs/>
                <w:lang w:val="en-GB" w:eastAsia="cs-CZ"/>
              </w:rPr>
              <w:t>číslo</w:t>
            </w:r>
            <w:proofErr w:type="spellEnd"/>
            <w:r>
              <w:rPr>
                <w:i/>
                <w:iCs/>
                <w:lang w:val="en-GB" w:eastAsia="cs-CZ"/>
              </w:rPr>
              <w:t xml:space="preserve"> </w:t>
            </w:r>
            <w:proofErr w:type="spellStart"/>
            <w:r>
              <w:rPr>
                <w:i/>
                <w:iCs/>
                <w:lang w:val="en-GB" w:eastAsia="cs-CZ"/>
              </w:rPr>
              <w:t>koncového</w:t>
            </w:r>
            <w:proofErr w:type="spellEnd"/>
            <w:r>
              <w:rPr>
                <w:i/>
                <w:iCs/>
                <w:lang w:val="en-GB" w:eastAsia="cs-CZ"/>
              </w:rPr>
              <w:t xml:space="preserve"> </w:t>
            </w:r>
            <w:proofErr w:type="spellStart"/>
            <w:r>
              <w:rPr>
                <w:i/>
                <w:iCs/>
                <w:lang w:val="en-GB" w:eastAsia="cs-CZ"/>
              </w:rPr>
              <w:t>zařízení</w:t>
            </w:r>
            <w:proofErr w:type="spellEnd"/>
            <w:r>
              <w:rPr>
                <w:i/>
                <w:iCs/>
                <w:lang w:val="en-GB" w:eastAsia="cs-CZ"/>
              </w:rPr>
              <w:t xml:space="preserve"> </w:t>
            </w:r>
            <w:proofErr w:type="spellStart"/>
            <w:r>
              <w:rPr>
                <w:i/>
                <w:iCs/>
                <w:lang w:val="en-GB" w:eastAsia="cs-CZ"/>
              </w:rPr>
              <w:t>technické</w:t>
            </w:r>
            <w:proofErr w:type="spellEnd"/>
            <w:r>
              <w:rPr>
                <w:i/>
                <w:iCs/>
                <w:lang w:val="en-GB" w:eastAsia="cs-CZ"/>
              </w:rPr>
              <w:t xml:space="preserve"> </w:t>
            </w:r>
            <w:proofErr w:type="spellStart"/>
            <w:r>
              <w:rPr>
                <w:i/>
                <w:iCs/>
                <w:lang w:val="en-GB" w:eastAsia="cs-CZ"/>
              </w:rPr>
              <w:t>hry</w:t>
            </w:r>
            <w:proofErr w:type="spellEnd"/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322C3" w:rsidRDefault="003322C3">
            <w:pPr>
              <w:spacing w:after="200" w:line="276" w:lineRule="auto"/>
              <w:jc w:val="center"/>
              <w:rPr>
                <w:i/>
                <w:iCs/>
                <w:lang w:val="en-GB" w:eastAsia="cs-CZ"/>
              </w:rPr>
            </w:pPr>
            <w:r>
              <w:rPr>
                <w:i/>
                <w:iCs/>
                <w:lang w:val="en-GB" w:eastAsia="cs-CZ"/>
              </w:rPr>
              <w:t xml:space="preserve">Nové </w:t>
            </w:r>
            <w:proofErr w:type="spellStart"/>
            <w:r>
              <w:rPr>
                <w:i/>
                <w:iCs/>
                <w:lang w:val="en-GB" w:eastAsia="cs-CZ"/>
              </w:rPr>
              <w:t>číslo</w:t>
            </w:r>
            <w:proofErr w:type="spellEnd"/>
            <w:r>
              <w:rPr>
                <w:i/>
                <w:iCs/>
                <w:lang w:val="en-GB" w:eastAsia="cs-CZ"/>
              </w:rPr>
              <w:t xml:space="preserve"> </w:t>
            </w:r>
            <w:proofErr w:type="spellStart"/>
            <w:r>
              <w:rPr>
                <w:i/>
                <w:iCs/>
                <w:lang w:val="en-GB" w:eastAsia="cs-CZ"/>
              </w:rPr>
              <w:t>osvědčení</w:t>
            </w:r>
            <w:proofErr w:type="spellEnd"/>
            <w:r>
              <w:rPr>
                <w:i/>
                <w:iCs/>
                <w:lang w:val="en-GB" w:eastAsia="cs-CZ"/>
              </w:rPr>
              <w:t xml:space="preserve"> o </w:t>
            </w:r>
            <w:proofErr w:type="spellStart"/>
            <w:r>
              <w:rPr>
                <w:i/>
                <w:iCs/>
                <w:lang w:val="en-GB" w:eastAsia="cs-CZ"/>
              </w:rPr>
              <w:t>provozuschopnosti</w:t>
            </w:r>
            <w:proofErr w:type="spellEnd"/>
          </w:p>
        </w:tc>
      </w:tr>
      <w:tr w:rsidR="003322C3" w:rsidTr="003322C3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322C3" w:rsidRDefault="003322C3">
            <w:pPr>
              <w:spacing w:after="200" w:line="276" w:lineRule="auto"/>
              <w:jc w:val="center"/>
              <w:rPr>
                <w:i/>
                <w:iCs/>
                <w:color w:val="000000"/>
                <w:lang w:val="en-GB" w:eastAsia="cs-CZ"/>
              </w:rPr>
            </w:pPr>
            <w:r>
              <w:rPr>
                <w:i/>
                <w:iCs/>
                <w:color w:val="000000"/>
                <w:lang w:val="en-GB" w:eastAsia="cs-CZ"/>
              </w:rPr>
              <w:t>705280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322C3" w:rsidRDefault="003322C3">
            <w:pPr>
              <w:spacing w:after="200" w:line="276" w:lineRule="auto"/>
              <w:jc w:val="center"/>
              <w:rPr>
                <w:i/>
                <w:iCs/>
                <w:color w:val="000000"/>
                <w:lang w:val="en-GB" w:eastAsia="cs-CZ"/>
              </w:rPr>
            </w:pPr>
            <w:r>
              <w:rPr>
                <w:i/>
                <w:iCs/>
                <w:color w:val="000000"/>
                <w:lang w:val="en-US" w:eastAsia="cs-CZ"/>
              </w:rPr>
              <w:t>#</w:t>
            </w:r>
            <w:r>
              <w:rPr>
                <w:i/>
                <w:iCs/>
                <w:color w:val="000000"/>
                <w:lang w:val="en-GB" w:eastAsia="cs-CZ"/>
              </w:rPr>
              <w:t>2564.19/2937</w:t>
            </w:r>
          </w:p>
        </w:tc>
      </w:tr>
      <w:tr w:rsidR="003322C3" w:rsidTr="003322C3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322C3" w:rsidRDefault="003322C3">
            <w:pPr>
              <w:spacing w:after="200" w:line="276" w:lineRule="auto"/>
              <w:jc w:val="center"/>
              <w:rPr>
                <w:i/>
                <w:iCs/>
                <w:color w:val="000000"/>
                <w:lang w:val="en-GB" w:eastAsia="cs-CZ"/>
              </w:rPr>
            </w:pPr>
            <w:r>
              <w:rPr>
                <w:i/>
                <w:iCs/>
                <w:color w:val="000000"/>
                <w:lang w:val="en-GB" w:eastAsia="cs-CZ"/>
              </w:rPr>
              <w:t>……………….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322C3" w:rsidRDefault="003322C3">
            <w:pPr>
              <w:spacing w:after="200" w:line="276" w:lineRule="auto"/>
              <w:jc w:val="center"/>
              <w:rPr>
                <w:i/>
                <w:iCs/>
                <w:color w:val="000000"/>
                <w:lang w:val="en-GB" w:eastAsia="cs-CZ"/>
              </w:rPr>
            </w:pPr>
            <w:r>
              <w:rPr>
                <w:i/>
                <w:iCs/>
                <w:color w:val="000000"/>
                <w:lang w:val="en-GB" w:eastAsia="cs-CZ"/>
              </w:rPr>
              <w:t>…………………..</w:t>
            </w:r>
          </w:p>
        </w:tc>
      </w:tr>
    </w:tbl>
    <w:p w:rsidR="003322C3" w:rsidRDefault="003322C3" w:rsidP="003322C3">
      <w:pPr>
        <w:rPr>
          <w:i/>
          <w:iCs/>
          <w:lang w:val="en-GB"/>
        </w:rPr>
      </w:pPr>
    </w:p>
    <w:p w:rsidR="003322C3" w:rsidRDefault="003322C3" w:rsidP="003322C3">
      <w:pPr>
        <w:rPr>
          <w:i/>
          <w:iCs/>
          <w:lang w:val="en-GB"/>
        </w:rPr>
      </w:pPr>
    </w:p>
    <w:p w:rsidR="003322C3" w:rsidRDefault="003322C3" w:rsidP="003322C3">
      <w:pPr>
        <w:rPr>
          <w:i/>
          <w:iCs/>
          <w:lang w:eastAsia="cs-CZ"/>
        </w:rPr>
      </w:pPr>
      <w:r>
        <w:rPr>
          <w:i/>
          <w:iCs/>
          <w:lang w:eastAsia="cs-CZ"/>
        </w:rPr>
        <w:t>S pozdravem</w:t>
      </w:r>
    </w:p>
    <w:p w:rsidR="003322C3" w:rsidRDefault="003322C3" w:rsidP="003322C3">
      <w:pPr>
        <w:rPr>
          <w:i/>
          <w:iCs/>
          <w:sz w:val="10"/>
          <w:szCs w:val="10"/>
          <w:lang w:eastAsia="cs-CZ"/>
        </w:rPr>
      </w:pPr>
    </w:p>
    <w:p w:rsidR="003322C3" w:rsidRDefault="003322C3" w:rsidP="003322C3">
      <w:pPr>
        <w:rPr>
          <w:i/>
          <w:iCs/>
          <w:lang w:eastAsia="cs-CZ"/>
        </w:rPr>
      </w:pPr>
      <w:r>
        <w:rPr>
          <w:i/>
          <w:iCs/>
          <w:lang w:eastAsia="cs-CZ"/>
        </w:rPr>
        <w:t>Oddělení 7302 - Regulace hazardu</w:t>
      </w:r>
    </w:p>
    <w:p w:rsidR="003322C3" w:rsidRDefault="003322C3" w:rsidP="003322C3">
      <w:pPr>
        <w:rPr>
          <w:i/>
          <w:iCs/>
          <w:lang w:eastAsia="cs-CZ"/>
        </w:rPr>
      </w:pPr>
      <w:r>
        <w:rPr>
          <w:i/>
          <w:iCs/>
          <w:lang w:eastAsia="cs-CZ"/>
        </w:rPr>
        <w:lastRenderedPageBreak/>
        <w:t>Odbor 73 - Procesní agendy a regulace hazardu</w:t>
      </w:r>
    </w:p>
    <w:p w:rsidR="003322C3" w:rsidRDefault="003322C3" w:rsidP="003322C3">
      <w:pPr>
        <w:rPr>
          <w:i/>
          <w:iCs/>
          <w:lang w:eastAsia="cs-CZ"/>
        </w:rPr>
      </w:pPr>
      <w:r>
        <w:rPr>
          <w:i/>
          <w:iCs/>
          <w:lang w:eastAsia="cs-CZ"/>
        </w:rPr>
        <w:t>Ministerstvo financí   </w:t>
      </w:r>
    </w:p>
    <w:p w:rsidR="003322C3" w:rsidRDefault="003322C3" w:rsidP="003322C3">
      <w:pPr>
        <w:rPr>
          <w:color w:val="4F81BD"/>
          <w:sz w:val="6"/>
          <w:szCs w:val="6"/>
          <w:lang w:eastAsia="cs-CZ"/>
        </w:rPr>
      </w:pPr>
    </w:p>
    <w:p w:rsidR="003322C3" w:rsidRDefault="003322C3" w:rsidP="003322C3">
      <w:pPr>
        <w:rPr>
          <w:color w:val="1F497D"/>
          <w:lang w:eastAsia="cs-CZ"/>
        </w:rPr>
      </w:pPr>
      <w:r>
        <w:rPr>
          <w:noProof/>
          <w:color w:val="1F497D"/>
          <w:lang w:eastAsia="cs-CZ"/>
        </w:rPr>
        <w:drawing>
          <wp:inline distT="0" distB="0" distL="0" distR="0">
            <wp:extent cx="2733675" cy="866775"/>
            <wp:effectExtent l="0" t="0" r="9525" b="9525"/>
            <wp:docPr id="1" name="Obrázek 1" descr="logo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_CZ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2C3" w:rsidRDefault="003322C3" w:rsidP="003322C3">
      <w:pPr>
        <w:rPr>
          <w:i/>
          <w:iCs/>
          <w:lang w:val="en-GB"/>
        </w:rPr>
      </w:pPr>
    </w:p>
    <w:p w:rsidR="003322C3" w:rsidRDefault="003322C3" w:rsidP="003322C3">
      <w:pPr>
        <w:rPr>
          <w:i/>
          <w:iCs/>
          <w:lang w:val="en-GB"/>
        </w:rPr>
      </w:pPr>
    </w:p>
    <w:p w:rsidR="003322C3" w:rsidRDefault="003322C3" w:rsidP="003322C3">
      <w:pPr>
        <w:rPr>
          <w:i/>
          <w:iCs/>
          <w:lang w:val="en-GB"/>
        </w:rPr>
      </w:pPr>
    </w:p>
    <w:p w:rsidR="005F61EB" w:rsidRDefault="005F61EB">
      <w:bookmarkStart w:id="0" w:name="_GoBack"/>
      <w:bookmarkEnd w:id="0"/>
    </w:p>
    <w:sectPr w:rsidR="005F6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2C3"/>
    <w:rsid w:val="003322C3"/>
    <w:rsid w:val="005F61EB"/>
    <w:rsid w:val="00C1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497859-1913-4D40-ACE4-63F40129F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22C3"/>
    <w:rPr>
      <w:rFonts w:ascii="Calibri" w:eastAsiaTheme="minorHAns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322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7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D593FD.3512EF60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HelpdeskSDSL@mfcr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Vostálová Marie</dc:creator>
  <cp:keywords/>
  <dc:description/>
  <cp:lastModifiedBy>Vostálová Marie</cp:lastModifiedBy>
  <cp:revision>1</cp:revision>
  <dcterms:created xsi:type="dcterms:W3CDTF">2019-11-07T09:24:00Z</dcterms:created>
  <dcterms:modified xsi:type="dcterms:W3CDTF">2019-11-07T09:25:00Z</dcterms:modified>
</cp:coreProperties>
</file>