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928" w:rsidRDefault="00E92F02" w:rsidP="00E92F02">
      <w:p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Standard č. 7</w:t>
      </w:r>
      <w:r w:rsidR="00B744AB" w:rsidRPr="00B744AB">
        <w:rPr>
          <w:rFonts w:ascii="Arial" w:hAnsi="Arial" w:cs="Arial"/>
          <w:b/>
          <w:sz w:val="32"/>
          <w:szCs w:val="32"/>
        </w:rPr>
        <w:t xml:space="preserve">: </w:t>
      </w:r>
      <w:r>
        <w:rPr>
          <w:rFonts w:ascii="Arial" w:hAnsi="Arial" w:cs="Arial"/>
          <w:b/>
          <w:sz w:val="32"/>
          <w:szCs w:val="32"/>
        </w:rPr>
        <w:t>Prevence</w:t>
      </w:r>
    </w:p>
    <w:p w:rsidR="00B744AB" w:rsidRPr="00B744AB" w:rsidRDefault="00B744AB" w:rsidP="00E92F02">
      <w:p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__________________________________________________</w:t>
      </w:r>
    </w:p>
    <w:p w:rsidR="00B744AB" w:rsidRDefault="00E92F02" w:rsidP="00E92F02">
      <w:pPr>
        <w:pStyle w:val="Zkladntext"/>
        <w:spacing w:after="200" w:line="276" w:lineRule="auto"/>
        <w:jc w:val="both"/>
        <w:rPr>
          <w:rFonts w:ascii="Arial" w:hAnsi="Arial" w:cs="Arial"/>
          <w:b/>
        </w:rPr>
      </w:pPr>
      <w:r w:rsidRPr="00E92F02">
        <w:rPr>
          <w:rFonts w:ascii="Arial" w:hAnsi="Arial" w:cs="Arial"/>
          <w:b/>
        </w:rPr>
        <w:t>7a) Orgán sociálně-právní ochrany aktivně vyhledává a monitoruje ohrožené děti. Prokazatelně koordinuje, případně vytváří podmínky pro preventivní aktivity ve svém správním obvodu</w:t>
      </w:r>
      <w:r>
        <w:rPr>
          <w:rFonts w:ascii="Arial" w:hAnsi="Arial" w:cs="Arial"/>
          <w:b/>
        </w:rPr>
        <w:t>.</w:t>
      </w:r>
    </w:p>
    <w:p w:rsidR="00E92F02" w:rsidRPr="00F773ED" w:rsidRDefault="003179CF" w:rsidP="00E92F02">
      <w:pPr>
        <w:pStyle w:val="Normlnweb"/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Jako ostatní orgány sociálně-právní ochrany dětí, tak i </w:t>
      </w:r>
      <w:r w:rsidR="00E92F02" w:rsidRPr="00F773ED">
        <w:rPr>
          <w:rFonts w:ascii="Arial" w:hAnsi="Arial" w:cs="Arial"/>
          <w:sz w:val="22"/>
          <w:szCs w:val="22"/>
        </w:rPr>
        <w:t>Krajský úřad Kraje Vysočina vyhledává a monitoruje ohrožené děti v rámci plnění zákonných povinností:</w:t>
      </w:r>
    </w:p>
    <w:p w:rsidR="00E92F02" w:rsidRDefault="00E92F02" w:rsidP="00E92F02">
      <w:pPr>
        <w:pStyle w:val="Normlnweb"/>
        <w:numPr>
          <w:ilvl w:val="0"/>
          <w:numId w:val="12"/>
        </w:numPr>
        <w:spacing w:after="20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F773ED">
        <w:rPr>
          <w:rFonts w:ascii="Arial" w:hAnsi="Arial" w:cs="Arial"/>
          <w:sz w:val="22"/>
          <w:szCs w:val="22"/>
        </w:rPr>
        <w:t>Krajský úřad vykonává metodickou pomoc a kontrolní činnost</w:t>
      </w:r>
      <w:r w:rsidRPr="00F773ED">
        <w:rPr>
          <w:rFonts w:ascii="Arial" w:hAnsi="Arial" w:cs="Arial"/>
          <w:color w:val="000000"/>
          <w:sz w:val="22"/>
          <w:szCs w:val="22"/>
        </w:rPr>
        <w:t xml:space="preserve"> pro obecní úřady obcí s rozšířenou působností. S těmito úřady úzce spolupracuje.  Kontrolní činnost krajský úřad považuje za jinou formu metodické pomoci obecním úřadům s rozšířenou působností. V rámci uvedených činností Krajský úřad ověřuje součinnost OSPOD s dalšími subjekty</w:t>
      </w:r>
      <w:r>
        <w:rPr>
          <w:rFonts w:ascii="Arial" w:hAnsi="Arial" w:cs="Arial"/>
          <w:color w:val="000000"/>
          <w:sz w:val="22"/>
          <w:szCs w:val="22"/>
        </w:rPr>
        <w:t xml:space="preserve"> (školy, zdravotnická zařízení, poradny, neziskové organizace, policie). Tuto</w:t>
      </w:r>
      <w:r w:rsidRPr="00F773ED">
        <w:rPr>
          <w:rFonts w:ascii="Arial" w:hAnsi="Arial" w:cs="Arial"/>
          <w:color w:val="000000"/>
          <w:sz w:val="22"/>
          <w:szCs w:val="22"/>
        </w:rPr>
        <w:t xml:space="preserve"> multidisciplinární spolupráci považuje za nezbytnou podmínku kvalitního výkonu </w:t>
      </w:r>
      <w:proofErr w:type="gramStart"/>
      <w:r w:rsidRPr="00F773ED">
        <w:rPr>
          <w:rFonts w:ascii="Arial" w:hAnsi="Arial" w:cs="Arial"/>
          <w:color w:val="000000"/>
          <w:sz w:val="22"/>
          <w:szCs w:val="22"/>
        </w:rPr>
        <w:t>SPOD</w:t>
      </w:r>
      <w:proofErr w:type="gramEnd"/>
      <w:r w:rsidRPr="00F773ED"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7E4A89">
        <w:rPr>
          <w:rFonts w:ascii="Arial" w:hAnsi="Arial" w:cs="Arial"/>
          <w:sz w:val="22"/>
          <w:szCs w:val="22"/>
        </w:rPr>
        <w:t xml:space="preserve">Krajský úřad se zaměřuje v rámci kontrolní činnosti výkonu </w:t>
      </w:r>
      <w:proofErr w:type="gramStart"/>
      <w:r w:rsidRPr="007E4A89">
        <w:rPr>
          <w:rFonts w:ascii="Arial" w:hAnsi="Arial" w:cs="Arial"/>
          <w:sz w:val="22"/>
          <w:szCs w:val="22"/>
        </w:rPr>
        <w:t>SPOD</w:t>
      </w:r>
      <w:proofErr w:type="gramEnd"/>
      <w:r w:rsidRPr="007E4A89">
        <w:rPr>
          <w:rFonts w:ascii="Arial" w:hAnsi="Arial" w:cs="Arial"/>
          <w:sz w:val="22"/>
          <w:szCs w:val="22"/>
        </w:rPr>
        <w:t xml:space="preserve">  zvláště na děti, na kterých byl spáchán trestný čin ohrožujíc</w:t>
      </w:r>
      <w:r w:rsidRPr="007E4A89">
        <w:rPr>
          <w:rFonts w:ascii="Arial" w:hAnsi="Arial" w:cs="Arial"/>
          <w:color w:val="000000"/>
          <w:sz w:val="22"/>
          <w:szCs w:val="22"/>
        </w:rPr>
        <w:t>í život, zdraví a svobodu, jejich lidskou důstojnost, mravní vývoj, nebo je u nich podezření ze spáchání takového činu anebo jsou ohrožovány násilím mezi rodiči nebo jinými osobami odpovědnými za jejich výchovu, popřípadě násilím mezi dalšími fyzickými osobami.</w:t>
      </w:r>
      <w:r>
        <w:rPr>
          <w:rFonts w:ascii="Arial" w:hAnsi="Arial" w:cs="Arial"/>
          <w:color w:val="000000"/>
          <w:sz w:val="22"/>
          <w:szCs w:val="22"/>
        </w:rPr>
        <w:t xml:space="preserve"> Krajský úřad sleduje, jak kontrolovaný OSPOD dodržuje základní zásady činnosti správních orgánů ve smyslu § 2 až § 8 správního řádu, jak využívá svých oprávnění a zda volí účinné prostředky (výchovná opatření apod.). </w:t>
      </w:r>
    </w:p>
    <w:p w:rsidR="00E92F02" w:rsidRPr="00885F35" w:rsidRDefault="00E92F02" w:rsidP="00E92F02">
      <w:pPr>
        <w:pStyle w:val="Normlnweb"/>
        <w:numPr>
          <w:ilvl w:val="0"/>
          <w:numId w:val="12"/>
        </w:numPr>
        <w:spacing w:after="20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885F35">
        <w:rPr>
          <w:rFonts w:ascii="Arial" w:hAnsi="Arial" w:cs="Arial"/>
          <w:color w:val="000000"/>
          <w:sz w:val="22"/>
          <w:szCs w:val="22"/>
        </w:rPr>
        <w:t xml:space="preserve">Krajský úřad přezkoumává stížnosti na činnost obecních úřadů obcí s rozšířenou působností dle Pravidel Rady kraje </w:t>
      </w:r>
      <w:r w:rsidR="00D256FF">
        <w:rPr>
          <w:rFonts w:ascii="Arial" w:hAnsi="Arial" w:cs="Arial"/>
          <w:color w:val="000000"/>
          <w:sz w:val="22"/>
          <w:szCs w:val="22"/>
        </w:rPr>
        <w:t xml:space="preserve">a dle manuálu pro vyřizování stížností, platného od 1. července 2022. </w:t>
      </w:r>
      <w:r w:rsidRPr="00885F35">
        <w:rPr>
          <w:rFonts w:ascii="Arial" w:hAnsi="Arial" w:cs="Arial"/>
          <w:color w:val="000000"/>
          <w:sz w:val="22"/>
          <w:szCs w:val="22"/>
        </w:rPr>
        <w:t xml:space="preserve"> Dále Krajský úřad Kraje Vysočina přezkoumává způsob vyřízení stížno</w:t>
      </w:r>
      <w:r w:rsidRPr="00885F35">
        <w:rPr>
          <w:rFonts w:ascii="Arial" w:hAnsi="Arial" w:cs="Arial"/>
          <w:sz w:val="22"/>
          <w:szCs w:val="22"/>
        </w:rPr>
        <w:t xml:space="preserve">sti na činnost orgánů sociálně-právní ochrany dle § 175 správního řádu. </w:t>
      </w:r>
      <w:r w:rsidR="008C17B3">
        <w:rPr>
          <w:rFonts w:ascii="Arial" w:hAnsi="Arial" w:cs="Arial"/>
          <w:sz w:val="22"/>
          <w:szCs w:val="22"/>
        </w:rPr>
        <w:t xml:space="preserve">Evidence vyřízení stížností je vedena elektronicky. </w:t>
      </w:r>
    </w:p>
    <w:p w:rsidR="00E92F02" w:rsidRPr="00885F35" w:rsidRDefault="00E92F02" w:rsidP="00E92F02">
      <w:pPr>
        <w:pStyle w:val="Normlnweb"/>
        <w:numPr>
          <w:ilvl w:val="0"/>
          <w:numId w:val="12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F773ED">
        <w:rPr>
          <w:rFonts w:ascii="Arial" w:hAnsi="Arial" w:cs="Arial"/>
          <w:sz w:val="22"/>
          <w:szCs w:val="22"/>
        </w:rPr>
        <w:t xml:space="preserve">Krajský úřad Kraje Vysočina využívá svého oprávnění </w:t>
      </w:r>
      <w:r>
        <w:rPr>
          <w:rFonts w:ascii="Arial" w:hAnsi="Arial" w:cs="Arial"/>
          <w:sz w:val="22"/>
          <w:szCs w:val="22"/>
        </w:rPr>
        <w:t xml:space="preserve">dle § 49 odst. 12 zákona o SPOD </w:t>
      </w:r>
      <w:r w:rsidRPr="00F773ED">
        <w:rPr>
          <w:rFonts w:ascii="Arial" w:hAnsi="Arial" w:cs="Arial"/>
          <w:sz w:val="22"/>
          <w:szCs w:val="22"/>
        </w:rPr>
        <w:t>ke kontrole subjektů, jimž udělil pověření ve smyslu § 48 zákona. Při provádění kontrolní činnosti hodnotí míru preventivních aktivit kontrolovaných organizací a plnění zákonných povinností (</w:t>
      </w:r>
      <w:proofErr w:type="gramStart"/>
      <w:r w:rsidRPr="00F773ED">
        <w:rPr>
          <w:rFonts w:ascii="Arial" w:hAnsi="Arial" w:cs="Arial"/>
          <w:sz w:val="22"/>
          <w:szCs w:val="22"/>
        </w:rPr>
        <w:t>dle §§ 8, 9,  § 10</w:t>
      </w:r>
      <w:proofErr w:type="gramEnd"/>
      <w:r w:rsidRPr="00F773ED">
        <w:rPr>
          <w:rFonts w:ascii="Arial" w:hAnsi="Arial" w:cs="Arial"/>
          <w:sz w:val="22"/>
          <w:szCs w:val="22"/>
        </w:rPr>
        <w:t xml:space="preserve"> odst. 4 a  dle § 53).</w:t>
      </w:r>
    </w:p>
    <w:p w:rsidR="00E92F02" w:rsidRDefault="00E92F02" w:rsidP="00E92F02">
      <w:pPr>
        <w:pStyle w:val="Normlnweb"/>
        <w:numPr>
          <w:ilvl w:val="0"/>
          <w:numId w:val="12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F773ED">
        <w:rPr>
          <w:rFonts w:ascii="Arial" w:hAnsi="Arial" w:cs="Arial"/>
          <w:sz w:val="22"/>
          <w:szCs w:val="22"/>
        </w:rPr>
        <w:t xml:space="preserve">Pracovníci na úseku SPOD </w:t>
      </w:r>
      <w:proofErr w:type="gramStart"/>
      <w:r w:rsidRPr="00F773ED">
        <w:rPr>
          <w:rFonts w:ascii="Arial" w:hAnsi="Arial" w:cs="Arial"/>
          <w:sz w:val="22"/>
          <w:szCs w:val="22"/>
        </w:rPr>
        <w:t>s</w:t>
      </w:r>
      <w:r w:rsidR="00D16013">
        <w:rPr>
          <w:rFonts w:ascii="Arial" w:hAnsi="Arial" w:cs="Arial"/>
          <w:sz w:val="22"/>
          <w:szCs w:val="22"/>
        </w:rPr>
        <w:t>e</w:t>
      </w:r>
      <w:proofErr w:type="gramEnd"/>
      <w:r w:rsidR="00D16013">
        <w:rPr>
          <w:rFonts w:ascii="Arial" w:hAnsi="Arial" w:cs="Arial"/>
          <w:sz w:val="22"/>
          <w:szCs w:val="22"/>
        </w:rPr>
        <w:t xml:space="preserve"> podílí</w:t>
      </w:r>
      <w:r w:rsidRPr="00F773ED">
        <w:rPr>
          <w:rFonts w:ascii="Arial" w:hAnsi="Arial" w:cs="Arial"/>
          <w:sz w:val="22"/>
          <w:szCs w:val="22"/>
        </w:rPr>
        <w:t xml:space="preserve"> na tvorbě a aktualizaci Střednědobého plánu rozvoje sociálních služeb. Jedná se o dokument, který stanovuje cíle a priority podpory provozu a investičního rozvoje sociálních služeb. Obsahuje výhled na rozsah a financování sociálních služeb a transparentní informace pro všechny aktéry v oblasti soc</w:t>
      </w:r>
      <w:r w:rsidR="008C17B3">
        <w:rPr>
          <w:rFonts w:ascii="Arial" w:hAnsi="Arial" w:cs="Arial"/>
          <w:sz w:val="22"/>
          <w:szCs w:val="22"/>
        </w:rPr>
        <w:t>iálních služeb, a to na rok 2022</w:t>
      </w:r>
      <w:r w:rsidRPr="00F773ED">
        <w:rPr>
          <w:rFonts w:ascii="Arial" w:hAnsi="Arial" w:cs="Arial"/>
          <w:sz w:val="22"/>
          <w:szCs w:val="22"/>
        </w:rPr>
        <w:t xml:space="preserve">.  Na počátku práce na aktualizaci Střednědobého plánu rozvoje sociálních služeb Kraje Vysočina byla stanovena struktura jednotlivých pracovních skupin, a to včetně řídící skupiny. Na aktualizaci Střednědobého plánu rozvoje sociálních služeb se podílelo devět pracovních skupin. Zástupci OSPOD se účastnili jednání pracovní skupiny Poskytovatelů služeb zaměřených na cílovou skupinu rodin s dětmi a mládež, Poskytovatelů služeb pro osoby ohrožené závislostmi, Poskytovatelů služeb pro národnostní a etnické menšiny, osoby bez přístřeší a osoby </w:t>
      </w:r>
      <w:r w:rsidRPr="00F773ED">
        <w:rPr>
          <w:rFonts w:ascii="Arial" w:hAnsi="Arial" w:cs="Arial"/>
          <w:sz w:val="22"/>
          <w:szCs w:val="22"/>
        </w:rPr>
        <w:lastRenderedPageBreak/>
        <w:t xml:space="preserve">ohrožené domácím násilím. Zástupci krajského úřadu na úseku SPOD tak měli možnost podílet se na zpracování výstupů pracovní skupiny, v nichž se uvádí charakteristika cílové </w:t>
      </w:r>
      <w:proofErr w:type="gramStart"/>
      <w:r w:rsidRPr="00F773ED">
        <w:rPr>
          <w:rFonts w:ascii="Arial" w:hAnsi="Arial" w:cs="Arial"/>
          <w:sz w:val="22"/>
          <w:szCs w:val="22"/>
        </w:rPr>
        <w:t>skupiny a  jednotlivé</w:t>
      </w:r>
      <w:proofErr w:type="gramEnd"/>
      <w:r w:rsidRPr="00F773ED">
        <w:rPr>
          <w:rFonts w:ascii="Arial" w:hAnsi="Arial" w:cs="Arial"/>
          <w:sz w:val="22"/>
          <w:szCs w:val="22"/>
        </w:rPr>
        <w:t xml:space="preserve"> cíle a opatření</w:t>
      </w:r>
      <w:r>
        <w:rPr>
          <w:rFonts w:ascii="Arial" w:hAnsi="Arial" w:cs="Arial"/>
          <w:sz w:val="22"/>
          <w:szCs w:val="22"/>
        </w:rPr>
        <w:t>.</w:t>
      </w:r>
    </w:p>
    <w:p w:rsidR="00E92F02" w:rsidRPr="00E92F02" w:rsidRDefault="00E92F02" w:rsidP="00E92F02">
      <w:pPr>
        <w:pStyle w:val="Normlnweb"/>
        <w:numPr>
          <w:ilvl w:val="0"/>
          <w:numId w:val="12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7E4A89">
        <w:rPr>
          <w:rFonts w:ascii="Arial" w:hAnsi="Arial" w:cs="Arial"/>
          <w:sz w:val="22"/>
          <w:szCs w:val="22"/>
        </w:rPr>
        <w:t xml:space="preserve">Členy pracovní skupiny prevence kriminality Kraje Vysočina jsou zástupci odboru sociálních věcí působících na úseku koordinace protidrogové politiky, koordinace romských záležitostí a úseku sociálně-právní ochrany dětí. Krajský úřad zpracoval </w:t>
      </w:r>
      <w:proofErr w:type="gramStart"/>
      <w:r w:rsidRPr="007E4A89">
        <w:rPr>
          <w:rFonts w:ascii="Arial" w:hAnsi="Arial" w:cs="Arial"/>
          <w:sz w:val="22"/>
          <w:szCs w:val="22"/>
        </w:rPr>
        <w:t xml:space="preserve">aktuální  </w:t>
      </w:r>
      <w:r w:rsidRPr="007E4A89">
        <w:rPr>
          <w:rFonts w:ascii="Arial" w:hAnsi="Arial" w:cs="Arial"/>
          <w:bCs/>
          <w:sz w:val="22"/>
          <w:szCs w:val="22"/>
        </w:rPr>
        <w:t>Koncepci</w:t>
      </w:r>
      <w:proofErr w:type="gramEnd"/>
      <w:r w:rsidRPr="007E4A89">
        <w:rPr>
          <w:rFonts w:ascii="Arial" w:hAnsi="Arial" w:cs="Arial"/>
          <w:bCs/>
          <w:sz w:val="22"/>
          <w:szCs w:val="22"/>
        </w:rPr>
        <w:t xml:space="preserve"> prevence kriminality K</w:t>
      </w:r>
      <w:r w:rsidR="008C17B3">
        <w:rPr>
          <w:rFonts w:ascii="Arial" w:hAnsi="Arial" w:cs="Arial"/>
          <w:bCs/>
          <w:sz w:val="22"/>
          <w:szCs w:val="22"/>
        </w:rPr>
        <w:t>raje Vysočina na léta 20</w:t>
      </w:r>
      <w:r w:rsidR="00D16013">
        <w:rPr>
          <w:rFonts w:ascii="Arial" w:hAnsi="Arial" w:cs="Arial"/>
          <w:bCs/>
          <w:sz w:val="22"/>
          <w:szCs w:val="22"/>
        </w:rPr>
        <w:t>17</w:t>
      </w:r>
      <w:r w:rsidR="008C17B3">
        <w:rPr>
          <w:rFonts w:ascii="Arial" w:hAnsi="Arial" w:cs="Arial"/>
          <w:bCs/>
          <w:sz w:val="22"/>
          <w:szCs w:val="22"/>
        </w:rPr>
        <w:t xml:space="preserve"> - 202</w:t>
      </w:r>
      <w:r w:rsidR="00D16013">
        <w:rPr>
          <w:rFonts w:ascii="Arial" w:hAnsi="Arial" w:cs="Arial"/>
          <w:bCs/>
          <w:sz w:val="22"/>
          <w:szCs w:val="22"/>
        </w:rPr>
        <w:t>2</w:t>
      </w:r>
      <w:r w:rsidRPr="007E4A89">
        <w:rPr>
          <w:rFonts w:ascii="Arial" w:hAnsi="Arial" w:cs="Arial"/>
          <w:sz w:val="22"/>
          <w:szCs w:val="22"/>
        </w:rPr>
        <w:t>. Stanovuje pro další období východiska, cíle, priority a konkrétní opatření, která by měla přispět k tomu, aby se i nadále Kraj Vysočina řadil mezi kraje s nejnižší kriminalitou, a aby se obyvatelé cítili bezpečně.</w:t>
      </w:r>
      <w:r w:rsidRPr="007E4A89">
        <w:rPr>
          <w:rFonts w:ascii="Arial" w:hAnsi="Arial" w:cs="Arial"/>
          <w:bCs/>
          <w:sz w:val="22"/>
          <w:szCs w:val="22"/>
        </w:rPr>
        <w:t xml:space="preserve"> </w:t>
      </w:r>
    </w:p>
    <w:p w:rsidR="00E92F02" w:rsidRPr="00885F35" w:rsidRDefault="00E92F02" w:rsidP="00E92F02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bCs/>
        </w:rPr>
        <w:t xml:space="preserve">- </w:t>
      </w:r>
      <w:r w:rsidRPr="00F773ED">
        <w:rPr>
          <w:rFonts w:ascii="Arial" w:hAnsi="Arial" w:cs="Arial"/>
          <w:bCs/>
        </w:rPr>
        <w:t xml:space="preserve">Zástupce OSPOD krajského úřadu je členem pracovní skupiny pro elektronickou bezpečnost, která se podílela na tvorbě </w:t>
      </w:r>
      <w:r w:rsidRPr="00F773ED">
        <w:rPr>
          <w:rFonts w:ascii="Arial" w:hAnsi="Arial" w:cs="Arial"/>
          <w:lang w:eastAsia="cs-CZ"/>
        </w:rPr>
        <w:t xml:space="preserve">Strategie elektronické bezpečnosti Kraje Vysočina. Tento dokument </w:t>
      </w:r>
      <w:proofErr w:type="gramStart"/>
      <w:r w:rsidRPr="00F773ED">
        <w:rPr>
          <w:rFonts w:ascii="Arial" w:hAnsi="Arial" w:cs="Arial"/>
          <w:lang w:eastAsia="cs-CZ"/>
        </w:rPr>
        <w:t>je  jedním</w:t>
      </w:r>
      <w:proofErr w:type="gramEnd"/>
      <w:r w:rsidRPr="00F773ED">
        <w:rPr>
          <w:rFonts w:ascii="Arial" w:hAnsi="Arial" w:cs="Arial"/>
          <w:lang w:eastAsia="cs-CZ"/>
        </w:rPr>
        <w:t xml:space="preserve"> z kroků Kraje Vysočina jako reakce na vzrůstající význam problematiky elektronické bezpečnosti. Přichází s aktivitami, které by měly vést ke zlepšení elektronické bezpečnosti nejen dětí, běžných uživatelů internetu, rodičů apod., ale i malých a středních firem, které působí v Kraji Vysočina. </w:t>
      </w:r>
      <w:r w:rsidR="003179CF">
        <w:rPr>
          <w:rFonts w:ascii="Arial" w:hAnsi="Arial" w:cs="Arial"/>
          <w:lang w:eastAsia="cs-CZ"/>
        </w:rPr>
        <w:t xml:space="preserve">Specialista v této oblasti také působí jako školitel v rámci projektu Prevence </w:t>
      </w:r>
      <w:proofErr w:type="spellStart"/>
      <w:r w:rsidR="003179CF">
        <w:rPr>
          <w:rFonts w:ascii="Arial" w:hAnsi="Arial" w:cs="Arial"/>
          <w:lang w:eastAsia="cs-CZ"/>
        </w:rPr>
        <w:t>kyberkriminality</w:t>
      </w:r>
      <w:proofErr w:type="spellEnd"/>
      <w:r w:rsidR="003179CF">
        <w:rPr>
          <w:rFonts w:ascii="Arial" w:hAnsi="Arial" w:cs="Arial"/>
          <w:lang w:eastAsia="cs-CZ"/>
        </w:rPr>
        <w:t xml:space="preserve">, a to především pro pracovníky, kteří působí ve školských zařízeních pro děti a mládež. </w:t>
      </w:r>
    </w:p>
    <w:p w:rsidR="00E92F02" w:rsidRPr="007249F9" w:rsidRDefault="00E92F02" w:rsidP="00E92F02">
      <w:pPr>
        <w:pStyle w:val="Normlnweb"/>
        <w:spacing w:after="20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885F35">
        <w:rPr>
          <w:rFonts w:ascii="Arial" w:hAnsi="Arial" w:cs="Arial"/>
          <w:bCs/>
          <w:sz w:val="22"/>
          <w:szCs w:val="22"/>
        </w:rPr>
        <w:t xml:space="preserve">-  </w:t>
      </w:r>
      <w:r w:rsidRPr="00885F35">
        <w:rPr>
          <w:rFonts w:ascii="Arial" w:hAnsi="Arial" w:cs="Arial"/>
          <w:sz w:val="22"/>
          <w:szCs w:val="22"/>
        </w:rPr>
        <w:t>Krajský úřad  shromažďuje roční výkazy o vý</w:t>
      </w:r>
      <w:r w:rsidRPr="007249F9">
        <w:rPr>
          <w:rFonts w:ascii="Arial" w:hAnsi="Arial" w:cs="Arial"/>
          <w:color w:val="000000"/>
          <w:sz w:val="22"/>
          <w:szCs w:val="22"/>
        </w:rPr>
        <w:t xml:space="preserve">konu SPOD </w:t>
      </w:r>
      <w:proofErr w:type="gramStart"/>
      <w:r w:rsidRPr="007249F9">
        <w:rPr>
          <w:rFonts w:ascii="Arial" w:hAnsi="Arial" w:cs="Arial"/>
          <w:color w:val="000000"/>
          <w:sz w:val="22"/>
          <w:szCs w:val="22"/>
        </w:rPr>
        <w:t>zajišťovaném</w:t>
      </w:r>
      <w:proofErr w:type="gramEnd"/>
      <w:r w:rsidRPr="007249F9">
        <w:rPr>
          <w:rFonts w:ascii="Arial" w:hAnsi="Arial" w:cs="Arial"/>
          <w:color w:val="000000"/>
          <w:sz w:val="22"/>
          <w:szCs w:val="22"/>
        </w:rPr>
        <w:t xml:space="preserve"> obecními úřady obcí s rozšířenou působností.  Sumarizované údaje jsou zveřejňovány na Sociálním portálu Kraje Vysočina. Slouží podpůrně jako podklad pro tvorbu strategických dokumentů kraje (Střednědobý plán rozvoje sociálních služeb, koncepce prevence kriminality apod.)</w:t>
      </w:r>
    </w:p>
    <w:p w:rsidR="00E92F02" w:rsidRPr="007249F9" w:rsidRDefault="00E92F02" w:rsidP="00E92F02">
      <w:pPr>
        <w:pStyle w:val="Normlnweb"/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7249F9">
        <w:rPr>
          <w:rFonts w:ascii="Arial" w:hAnsi="Arial" w:cs="Arial"/>
          <w:color w:val="000000"/>
          <w:sz w:val="22"/>
          <w:szCs w:val="22"/>
        </w:rPr>
        <w:t xml:space="preserve">- Mezi další preventivní aktivity patří pravidelné metodické porady pro pracovníky OSPOD ORP, které se konají zpravidla jednou za tři měsíce (dva dny v roce jsou věnovány náhradní rodinné péči, dva až tři dny v roce další agendě </w:t>
      </w:r>
      <w:proofErr w:type="gramStart"/>
      <w:r w:rsidRPr="007249F9">
        <w:rPr>
          <w:rFonts w:ascii="Arial" w:hAnsi="Arial" w:cs="Arial"/>
          <w:color w:val="000000"/>
          <w:sz w:val="22"/>
          <w:szCs w:val="22"/>
        </w:rPr>
        <w:t>SPOD</w:t>
      </w:r>
      <w:proofErr w:type="gramEnd"/>
      <w:r w:rsidRPr="007249F9">
        <w:rPr>
          <w:rFonts w:ascii="Arial" w:hAnsi="Arial" w:cs="Arial"/>
          <w:color w:val="000000"/>
          <w:sz w:val="22"/>
          <w:szCs w:val="22"/>
        </w:rPr>
        <w:t xml:space="preserve">). Krajský úřad dále pořádá </w:t>
      </w:r>
      <w:r>
        <w:rPr>
          <w:rFonts w:ascii="Arial" w:hAnsi="Arial" w:cs="Arial"/>
          <w:color w:val="000000"/>
          <w:sz w:val="22"/>
          <w:szCs w:val="22"/>
        </w:rPr>
        <w:t xml:space="preserve">přednášky, semináře </w:t>
      </w:r>
      <w:r w:rsidRPr="007249F9">
        <w:rPr>
          <w:rFonts w:ascii="Arial" w:hAnsi="Arial" w:cs="Arial"/>
          <w:color w:val="000000"/>
          <w:sz w:val="22"/>
          <w:szCs w:val="22"/>
        </w:rPr>
        <w:t>a konference t</w:t>
      </w:r>
      <w:r>
        <w:rPr>
          <w:rFonts w:ascii="Arial" w:hAnsi="Arial" w:cs="Arial"/>
          <w:color w:val="000000"/>
          <w:sz w:val="22"/>
          <w:szCs w:val="22"/>
        </w:rPr>
        <w:t>e</w:t>
      </w:r>
      <w:r w:rsidRPr="007249F9">
        <w:rPr>
          <w:rFonts w:ascii="Arial" w:hAnsi="Arial" w:cs="Arial"/>
          <w:color w:val="000000"/>
          <w:sz w:val="22"/>
          <w:szCs w:val="22"/>
        </w:rPr>
        <w:t>maticky zaměřené na aktuální problémy</w:t>
      </w:r>
      <w:r>
        <w:rPr>
          <w:rFonts w:ascii="Arial" w:hAnsi="Arial" w:cs="Arial"/>
          <w:color w:val="000000"/>
          <w:sz w:val="22"/>
          <w:szCs w:val="22"/>
        </w:rPr>
        <w:t xml:space="preserve">. </w:t>
      </w:r>
      <w:r w:rsidRPr="007249F9">
        <w:rPr>
          <w:rFonts w:ascii="Arial" w:hAnsi="Arial" w:cs="Arial"/>
          <w:color w:val="000000"/>
          <w:sz w:val="22"/>
          <w:szCs w:val="22"/>
        </w:rPr>
        <w:t>O</w:t>
      </w:r>
      <w:r>
        <w:rPr>
          <w:rFonts w:ascii="Arial" w:hAnsi="Arial" w:cs="Arial"/>
          <w:color w:val="000000"/>
          <w:sz w:val="22"/>
          <w:szCs w:val="22"/>
        </w:rPr>
        <w:t> </w:t>
      </w:r>
      <w:r w:rsidRPr="007249F9">
        <w:rPr>
          <w:rFonts w:ascii="Arial" w:hAnsi="Arial" w:cs="Arial"/>
          <w:color w:val="000000"/>
          <w:sz w:val="22"/>
          <w:szCs w:val="22"/>
        </w:rPr>
        <w:t>realizovaných metodických poradách vede krajský úřad záznamy z jednání, prezenční listiny atd.</w:t>
      </w:r>
    </w:p>
    <w:p w:rsidR="00E92F02" w:rsidRPr="007249F9" w:rsidRDefault="00E92F02" w:rsidP="00E92F02">
      <w:pPr>
        <w:pStyle w:val="Normlnweb"/>
        <w:spacing w:after="20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Calibri" w:hAnsi="Calibri"/>
          <w:color w:val="000000"/>
        </w:rPr>
        <w:t>-</w:t>
      </w:r>
      <w:r w:rsidRPr="007249F9">
        <w:rPr>
          <w:rFonts w:ascii="Arial" w:hAnsi="Arial" w:cs="Arial"/>
          <w:color w:val="000000"/>
          <w:sz w:val="22"/>
          <w:szCs w:val="22"/>
        </w:rPr>
        <w:t xml:space="preserve"> Krajský úřad Kraje Vysočina pořádá každoročně konzultační a poradenské dny k problematice náhradní rodinné péče. Konzultační a poradenské dny jsou určené zejména pro pěstouny, děti svěřené do pěstounské péče, jiné fyzické osoby žijící spolu s pěstou</w:t>
      </w:r>
      <w:r>
        <w:rPr>
          <w:rFonts w:ascii="Arial" w:hAnsi="Arial" w:cs="Arial"/>
          <w:color w:val="000000"/>
          <w:sz w:val="22"/>
          <w:szCs w:val="22"/>
        </w:rPr>
        <w:t xml:space="preserve">ny, a dále o zájemce a žadatele </w:t>
      </w:r>
      <w:r w:rsidRPr="007249F9">
        <w:rPr>
          <w:rFonts w:ascii="Arial" w:hAnsi="Arial" w:cs="Arial"/>
          <w:color w:val="000000"/>
          <w:sz w:val="22"/>
          <w:szCs w:val="22"/>
        </w:rPr>
        <w:t>o náhradní rodinnou péči, zvláště pak o pěstounskou péči a pěstounskou péči na přechodnou dobu, kteří mají trvalý pobyt na území Kraje Vysočina. Tyto konzultační dny jsou doplněny zábavným programem pro děti (soutěže, setkání v ZOO apod.</w:t>
      </w:r>
      <w:r>
        <w:rPr>
          <w:rFonts w:ascii="Arial" w:hAnsi="Arial" w:cs="Arial"/>
          <w:color w:val="000000"/>
          <w:sz w:val="22"/>
          <w:szCs w:val="22"/>
        </w:rPr>
        <w:t>).</w:t>
      </w:r>
    </w:p>
    <w:p w:rsidR="00E92F02" w:rsidRPr="00E92F02" w:rsidRDefault="00E92F02" w:rsidP="00E92F02">
      <w:pPr>
        <w:pStyle w:val="Normlnweb"/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- </w:t>
      </w:r>
      <w:r w:rsidRPr="004A403B">
        <w:rPr>
          <w:rFonts w:ascii="Arial" w:hAnsi="Arial" w:cs="Arial"/>
          <w:sz w:val="22"/>
          <w:szCs w:val="22"/>
        </w:rPr>
        <w:t>Dle § 10 odst. 2 zákona o SPOD</w:t>
      </w:r>
      <w:r w:rsidR="00D16013">
        <w:rPr>
          <w:rFonts w:ascii="Arial" w:hAnsi="Arial" w:cs="Arial"/>
          <w:sz w:val="22"/>
          <w:szCs w:val="22"/>
        </w:rPr>
        <w:t>,</w:t>
      </w:r>
      <w:r w:rsidRPr="004A403B">
        <w:rPr>
          <w:rFonts w:ascii="Arial" w:hAnsi="Arial" w:cs="Arial"/>
          <w:sz w:val="22"/>
          <w:szCs w:val="22"/>
        </w:rPr>
        <w:t xml:space="preserve"> kraj v samostatné působnosti vytváří předpoklady pro kulturní, sportovní, jinou zájmovou a vzdělávací činnost dětí. Jedná se o aktivity vyžadující multidisciplinární přístup, koordinaci a propojení přenesené a samostatné působnosti na území kraje.</w:t>
      </w:r>
      <w:r w:rsidR="008C17B3">
        <w:rPr>
          <w:rFonts w:ascii="Arial" w:hAnsi="Arial" w:cs="Arial"/>
          <w:sz w:val="22"/>
          <w:szCs w:val="22"/>
        </w:rPr>
        <w:t xml:space="preserve"> Jedná se například</w:t>
      </w:r>
      <w:r>
        <w:rPr>
          <w:rFonts w:ascii="Arial" w:hAnsi="Arial" w:cs="Arial"/>
          <w:sz w:val="22"/>
          <w:szCs w:val="22"/>
        </w:rPr>
        <w:t xml:space="preserve"> o následující činnosti:</w:t>
      </w:r>
      <w:r w:rsidRPr="004A403B">
        <w:rPr>
          <w:rFonts w:ascii="Arial" w:hAnsi="Arial" w:cs="Arial"/>
          <w:sz w:val="22"/>
          <w:szCs w:val="22"/>
        </w:rPr>
        <w:t xml:space="preserve"> </w:t>
      </w:r>
    </w:p>
    <w:p w:rsidR="00E92F02" w:rsidRDefault="00E92F02" w:rsidP="00E92F02">
      <w:pPr>
        <w:numPr>
          <w:ilvl w:val="0"/>
          <w:numId w:val="9"/>
        </w:num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>Spolupráce OSV  s odborem školství, mládeže a sportu (účast na poradách s řediteli MŠ a ZŠ</w:t>
      </w:r>
      <w:r w:rsidR="008C17B3">
        <w:rPr>
          <w:rFonts w:ascii="Arial" w:hAnsi="Arial" w:cs="Arial"/>
        </w:rPr>
        <w:t>, DD</w:t>
      </w:r>
      <w:r>
        <w:rPr>
          <w:rFonts w:ascii="Arial" w:hAnsi="Arial" w:cs="Arial"/>
        </w:rPr>
        <w:t>)</w:t>
      </w:r>
    </w:p>
    <w:p w:rsidR="00E92F02" w:rsidRDefault="00E92F02" w:rsidP="00E92F02">
      <w:pPr>
        <w:numPr>
          <w:ilvl w:val="0"/>
          <w:numId w:val="9"/>
        </w:num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>spolupráce OSV se sekretariátem hejtmana (manažer prevence kriminality, členství v komisi pro prevenci kriminality a pro elektronickou bezpečnost)</w:t>
      </w:r>
    </w:p>
    <w:p w:rsidR="00E92F02" w:rsidRDefault="00E92F02" w:rsidP="00E92F02">
      <w:pPr>
        <w:numPr>
          <w:ilvl w:val="0"/>
          <w:numId w:val="9"/>
        </w:num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spolupráce s odborem zdravotnictví (osvěta ve vztahu k lékařům prostřednictvím elektronické komunikace</w:t>
      </w:r>
      <w:r w:rsidR="00704797">
        <w:rPr>
          <w:rFonts w:ascii="Arial" w:hAnsi="Arial" w:cs="Arial"/>
        </w:rPr>
        <w:t>, práce na tzv. zdravotně-sociálním pomezí</w:t>
      </w:r>
      <w:r>
        <w:rPr>
          <w:rFonts w:ascii="Arial" w:hAnsi="Arial" w:cs="Arial"/>
        </w:rPr>
        <w:t>)</w:t>
      </w:r>
    </w:p>
    <w:p w:rsidR="00E92F02" w:rsidRDefault="00E92F02" w:rsidP="00E92F02">
      <w:pPr>
        <w:numPr>
          <w:ilvl w:val="0"/>
          <w:numId w:val="9"/>
        </w:num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>spolupráce s koordinátorem pro integraci romských menšin</w:t>
      </w:r>
    </w:p>
    <w:p w:rsidR="00E92F02" w:rsidRDefault="00E92F02" w:rsidP="00E92F02">
      <w:pPr>
        <w:numPr>
          <w:ilvl w:val="0"/>
          <w:numId w:val="9"/>
        </w:num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spolupráce s protidrogovým koordinátorem </w:t>
      </w:r>
    </w:p>
    <w:p w:rsidR="00E92F02" w:rsidRDefault="00E92F02" w:rsidP="00E92F02">
      <w:pPr>
        <w:numPr>
          <w:ilvl w:val="0"/>
          <w:numId w:val="9"/>
        </w:num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podávání informací obcím prostřednictvím </w:t>
      </w:r>
      <w:r w:rsidR="00895127">
        <w:rPr>
          <w:rFonts w:ascii="Arial" w:hAnsi="Arial" w:cs="Arial"/>
        </w:rPr>
        <w:t>„</w:t>
      </w:r>
      <w:r>
        <w:rPr>
          <w:rFonts w:ascii="Arial" w:hAnsi="Arial" w:cs="Arial"/>
        </w:rPr>
        <w:t>Zpravodaje</w:t>
      </w:r>
      <w:r w:rsidR="00895127">
        <w:rPr>
          <w:rFonts w:ascii="Arial" w:hAnsi="Arial" w:cs="Arial"/>
        </w:rPr>
        <w:t>“</w:t>
      </w:r>
    </w:p>
    <w:p w:rsidR="00E92F02" w:rsidRDefault="00E92F02" w:rsidP="00E92F02">
      <w:pPr>
        <w:jc w:val="both"/>
        <w:rPr>
          <w:rFonts w:ascii="Arial" w:hAnsi="Arial" w:cs="Arial"/>
        </w:rPr>
      </w:pPr>
    </w:p>
    <w:p w:rsidR="00E92F02" w:rsidRDefault="00E92F02" w:rsidP="00E92F0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 koordinaci a plánování preventivních aktivit realizovaných na území Kraje </w:t>
      </w:r>
      <w:proofErr w:type="gramStart"/>
      <w:r>
        <w:rPr>
          <w:rFonts w:ascii="Arial" w:hAnsi="Arial" w:cs="Arial"/>
        </w:rPr>
        <w:t>Vysočina  kraj</w:t>
      </w:r>
      <w:proofErr w:type="gramEnd"/>
      <w:r>
        <w:rPr>
          <w:rFonts w:ascii="Arial" w:hAnsi="Arial" w:cs="Arial"/>
        </w:rPr>
        <w:t xml:space="preserve"> zpracoval či zpracovává </w:t>
      </w:r>
      <w:r w:rsidR="00895127">
        <w:rPr>
          <w:rFonts w:ascii="Arial" w:hAnsi="Arial" w:cs="Arial"/>
        </w:rPr>
        <w:t xml:space="preserve">průběžně </w:t>
      </w:r>
      <w:r>
        <w:rPr>
          <w:rFonts w:ascii="Arial" w:hAnsi="Arial" w:cs="Arial"/>
        </w:rPr>
        <w:t>koncepční materiály</w:t>
      </w:r>
      <w:r w:rsidR="00895127">
        <w:rPr>
          <w:rFonts w:ascii="Arial" w:hAnsi="Arial" w:cs="Arial"/>
        </w:rPr>
        <w:t xml:space="preserve"> pro jednotlivé </w:t>
      </w:r>
      <w:r w:rsidR="00D046CF">
        <w:rPr>
          <w:rFonts w:ascii="Arial" w:hAnsi="Arial" w:cs="Arial"/>
        </w:rPr>
        <w:t>oblasti</w:t>
      </w:r>
      <w:r>
        <w:rPr>
          <w:rFonts w:ascii="Arial" w:hAnsi="Arial" w:cs="Arial"/>
        </w:rPr>
        <w:t>:</w:t>
      </w:r>
    </w:p>
    <w:p w:rsidR="00E92F02" w:rsidRDefault="00E92F02" w:rsidP="00E92F02">
      <w:pPr>
        <w:numPr>
          <w:ilvl w:val="0"/>
          <w:numId w:val="10"/>
        </w:num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Koncepce rodinné </w:t>
      </w:r>
      <w:r w:rsidR="003179CF">
        <w:rPr>
          <w:rFonts w:ascii="Arial" w:hAnsi="Arial" w:cs="Arial"/>
        </w:rPr>
        <w:t xml:space="preserve">a seniorské </w:t>
      </w:r>
      <w:r>
        <w:rPr>
          <w:rFonts w:ascii="Arial" w:hAnsi="Arial" w:cs="Arial"/>
        </w:rPr>
        <w:t>politik</w:t>
      </w:r>
      <w:r w:rsidR="003179CF">
        <w:rPr>
          <w:rFonts w:ascii="Arial" w:hAnsi="Arial" w:cs="Arial"/>
        </w:rPr>
        <w:t>y Kraje Vysočina</w:t>
      </w:r>
      <w:r w:rsidR="00704797">
        <w:rPr>
          <w:rFonts w:ascii="Arial" w:hAnsi="Arial" w:cs="Arial"/>
        </w:rPr>
        <w:t xml:space="preserve"> na období  2022 - 2025</w:t>
      </w:r>
    </w:p>
    <w:p w:rsidR="00E92F02" w:rsidRDefault="00E92F02" w:rsidP="00E92F02">
      <w:pPr>
        <w:numPr>
          <w:ilvl w:val="0"/>
          <w:numId w:val="10"/>
        </w:num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Střednědobý plán rozvoje sociálních služeb Kraje </w:t>
      </w:r>
      <w:r w:rsidR="00704797">
        <w:rPr>
          <w:rFonts w:ascii="Arial" w:hAnsi="Arial" w:cs="Arial"/>
        </w:rPr>
        <w:t>Vys</w:t>
      </w:r>
      <w:bookmarkStart w:id="0" w:name="_GoBack"/>
      <w:bookmarkEnd w:id="0"/>
      <w:r w:rsidR="00704797">
        <w:rPr>
          <w:rFonts w:ascii="Arial" w:hAnsi="Arial" w:cs="Arial"/>
        </w:rPr>
        <w:t>očina, aktualizace na r. 2022</w:t>
      </w:r>
    </w:p>
    <w:p w:rsidR="00E92F02" w:rsidRDefault="00E92F02" w:rsidP="00E92F02">
      <w:pPr>
        <w:numPr>
          <w:ilvl w:val="0"/>
          <w:numId w:val="10"/>
        </w:num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>Strategie integrace sociálně vyloučený</w:t>
      </w:r>
      <w:r w:rsidR="00704797">
        <w:rPr>
          <w:rFonts w:ascii="Arial" w:hAnsi="Arial" w:cs="Arial"/>
        </w:rPr>
        <w:t>ch lokalit</w:t>
      </w:r>
      <w:r w:rsidR="00D046CF">
        <w:rPr>
          <w:rFonts w:ascii="Arial" w:hAnsi="Arial" w:cs="Arial"/>
        </w:rPr>
        <w:t>, aktualizace na r. 2023</w:t>
      </w:r>
      <w:r w:rsidR="00704797">
        <w:rPr>
          <w:rFonts w:ascii="Arial" w:hAnsi="Arial" w:cs="Arial"/>
        </w:rPr>
        <w:t xml:space="preserve"> </w:t>
      </w:r>
    </w:p>
    <w:p w:rsidR="00E92F02" w:rsidRDefault="00E92F02" w:rsidP="00E92F02">
      <w:pPr>
        <w:numPr>
          <w:ilvl w:val="0"/>
          <w:numId w:val="10"/>
        </w:num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>Strategie protidrogové politi</w:t>
      </w:r>
      <w:r w:rsidR="00704797">
        <w:rPr>
          <w:rFonts w:ascii="Arial" w:hAnsi="Arial" w:cs="Arial"/>
        </w:rPr>
        <w:t>ky Kraje V</w:t>
      </w:r>
      <w:r w:rsidR="00D046CF">
        <w:rPr>
          <w:rFonts w:ascii="Arial" w:hAnsi="Arial" w:cs="Arial"/>
        </w:rPr>
        <w:t>ysočina</w:t>
      </w:r>
      <w:r w:rsidR="00DF5C4D">
        <w:rPr>
          <w:rFonts w:ascii="Arial" w:hAnsi="Arial" w:cs="Arial"/>
        </w:rPr>
        <w:t xml:space="preserve"> n OBDOVÍ 2021 - 2025</w:t>
      </w:r>
    </w:p>
    <w:p w:rsidR="00E92F02" w:rsidRPr="00E92F02" w:rsidRDefault="00E92F02" w:rsidP="00E92F02">
      <w:pPr>
        <w:numPr>
          <w:ilvl w:val="0"/>
          <w:numId w:val="9"/>
        </w:numPr>
        <w:suppressAutoHyphens/>
        <w:jc w:val="both"/>
        <w:rPr>
          <w:rFonts w:ascii="Arial" w:eastAsia="Arial" w:hAnsi="Arial" w:cs="Arial"/>
        </w:rPr>
      </w:pPr>
      <w:r>
        <w:rPr>
          <w:rFonts w:ascii="Arial" w:hAnsi="Arial" w:cs="Arial"/>
        </w:rPr>
        <w:t>Strategie elektronické bezpečnost</w:t>
      </w:r>
      <w:r w:rsidR="0004398C">
        <w:rPr>
          <w:rFonts w:ascii="Arial" w:hAnsi="Arial" w:cs="Arial"/>
        </w:rPr>
        <w:t>i</w:t>
      </w:r>
      <w:r w:rsidR="00704797">
        <w:rPr>
          <w:rFonts w:ascii="Arial" w:hAnsi="Arial" w:cs="Arial"/>
        </w:rPr>
        <w:t xml:space="preserve"> Kraje</w:t>
      </w:r>
      <w:r w:rsidR="00D046CF">
        <w:rPr>
          <w:rFonts w:ascii="Arial" w:hAnsi="Arial" w:cs="Arial"/>
        </w:rPr>
        <w:t xml:space="preserve"> Vysočina na období 2022 – 2025</w:t>
      </w:r>
    </w:p>
    <w:p w:rsidR="00E92F02" w:rsidRPr="00E92F02" w:rsidRDefault="00E92F02" w:rsidP="00E92F02">
      <w:pPr>
        <w:suppressAutoHyphens/>
        <w:ind w:left="360"/>
        <w:jc w:val="both"/>
        <w:rPr>
          <w:rFonts w:ascii="Arial" w:eastAsia="Arial" w:hAnsi="Arial" w:cs="Arial"/>
        </w:rPr>
      </w:pPr>
    </w:p>
    <w:p w:rsidR="00E92F02" w:rsidRDefault="00E92F02" w:rsidP="00E92F0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Výkon státní správy Krajský úřad Kraje Vysočina realizuje na celém území správního obvodu Kraje Vysočina, kde koordinuje a metodicky podporuje 15 obecních úřadů obcí s rozšířenou působností a dále obecní úřady následujícími aktivitami:</w:t>
      </w:r>
    </w:p>
    <w:p w:rsidR="00E92F02" w:rsidRDefault="00E92F02" w:rsidP="00E92F02">
      <w:pPr>
        <w:numPr>
          <w:ilvl w:val="0"/>
          <w:numId w:val="11"/>
        </w:num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>Prostřednictvím webových stránek Kraj Vysočina zveřejňuje aktuální informace k připravovaným projektům, výzvám, aktivitám kraje v oblasti pomoci a podpory rodinám a dětem.</w:t>
      </w:r>
    </w:p>
    <w:p w:rsidR="00E92F02" w:rsidRDefault="00E92F02" w:rsidP="00E92F02">
      <w:pPr>
        <w:numPr>
          <w:ilvl w:val="0"/>
          <w:numId w:val="11"/>
        </w:num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Zástupci odboru sociálních věcí se účastní porad s tajemníky obecních úřadů obcí s rozšířenou působností. </w:t>
      </w:r>
    </w:p>
    <w:p w:rsidR="00E92F02" w:rsidRDefault="00E92F02" w:rsidP="00E92F02">
      <w:pPr>
        <w:numPr>
          <w:ilvl w:val="0"/>
          <w:numId w:val="11"/>
        </w:num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>Krajský úřad Kraje Vysočina metodicky vede sociální pracovníky obecních úřadů obcí s rozšířenou působností prostřednictvím pracovních porad, seminářů, konferencí a dalších akcí tematicky zaměřených na oblast sociálně-právní ochrany dětí.</w:t>
      </w:r>
    </w:p>
    <w:p w:rsidR="00E92F02" w:rsidRDefault="00E92F02" w:rsidP="00E92F02">
      <w:pPr>
        <w:numPr>
          <w:ilvl w:val="0"/>
          <w:numId w:val="11"/>
        </w:num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Krajský úřad Kraje Vysočina poskytuje metodickou pomoc individuálními konzultacemi při řešení konkrétních případů.  Uvedenou pomoc zajišťuje osobní jednáním, telefonicky nebo e-mailem. </w:t>
      </w:r>
    </w:p>
    <w:p w:rsidR="00704797" w:rsidRDefault="00704797" w:rsidP="00704797">
      <w:pPr>
        <w:suppressAutoHyphens/>
        <w:jc w:val="both"/>
        <w:rPr>
          <w:rFonts w:ascii="Arial" w:hAnsi="Arial" w:cs="Arial"/>
        </w:rPr>
      </w:pPr>
    </w:p>
    <w:p w:rsidR="00704797" w:rsidRDefault="00704797" w:rsidP="00704797">
      <w:pPr>
        <w:suppressAutoHyphens/>
        <w:jc w:val="both"/>
        <w:rPr>
          <w:rFonts w:ascii="Arial" w:hAnsi="Arial" w:cs="Arial"/>
        </w:rPr>
      </w:pPr>
    </w:p>
    <w:p w:rsidR="00704797" w:rsidRDefault="00704797" w:rsidP="00704797">
      <w:pPr>
        <w:suppressAutoHyphens/>
        <w:jc w:val="both"/>
        <w:rPr>
          <w:rFonts w:ascii="Arial" w:hAnsi="Arial" w:cs="Arial"/>
        </w:rPr>
      </w:pPr>
    </w:p>
    <w:p w:rsidR="00704797" w:rsidRPr="00E92F02" w:rsidRDefault="00704797" w:rsidP="00704797">
      <w:pPr>
        <w:suppressAutoHyphens/>
        <w:jc w:val="both"/>
        <w:rPr>
          <w:rFonts w:ascii="Arial" w:hAnsi="Arial" w:cs="Arial"/>
        </w:rPr>
      </w:pPr>
    </w:p>
    <w:p w:rsidR="00E92F02" w:rsidRDefault="00704797" w:rsidP="00E92F0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Opatření pro rok 2023</w:t>
      </w:r>
      <w:r w:rsidR="00E92F02">
        <w:rPr>
          <w:rFonts w:ascii="Arial" w:hAnsi="Arial" w:cs="Arial"/>
        </w:rPr>
        <w:t>:</w:t>
      </w:r>
    </w:p>
    <w:p w:rsidR="00E92F02" w:rsidRDefault="00E92F02" w:rsidP="00E92F0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Krajský úřad Kraje Vysočina připravuje v rámci metodické činnosti doporučující materiály, které podpoří aktéry sociálně-právní ochrany a multidisciplinární spolupráci. Bude se jednat o metodiku k sociální práci s uživateli drog, k sociální práci s osobami z LGBT komunity, k výkonu funkce kolizního opatrovníka apod.  </w:t>
      </w:r>
    </w:p>
    <w:p w:rsidR="0092480E" w:rsidRDefault="0092480E" w:rsidP="00E92F0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E92F02" w:rsidRPr="00E92F02" w:rsidRDefault="00E92F02" w:rsidP="00E92F02">
      <w:pPr>
        <w:pStyle w:val="Zkladntext"/>
        <w:spacing w:after="20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7</w:t>
      </w:r>
      <w:r w:rsidR="00D168B3">
        <w:rPr>
          <w:rFonts w:ascii="Arial" w:hAnsi="Arial" w:cs="Arial"/>
          <w:b/>
        </w:rPr>
        <w:t xml:space="preserve">b) </w:t>
      </w:r>
      <w:r w:rsidRPr="00E92F02">
        <w:rPr>
          <w:rFonts w:ascii="Arial" w:hAnsi="Arial" w:cs="Arial"/>
          <w:b/>
        </w:rPr>
        <w:t>Orgán sociálně-právní ochrany v rámci preventivních aktivit  spolupracuje s dalšími fyzickými osobami, právnickými osobami a orgány veřejné moci, zejména s orgány územní samosprávy, pověřenými osobami, poskytovateli sociálních služeb, zástupci škol a školských zařízení, Policií České republiky, Probační a mediační službou, soudem, státním zastupitelstvím, poskytovateli zdravotních služeb, případně dalšími fyzickými osobami, právnickými osobami a orgány veřejné moci zúčastněnými na péči o ohrožené děti podle místních potřeb a podmínek. Všechny uvedené subjekty mohou jako formu spolupráce v rámci výše uvedeného</w:t>
      </w:r>
      <w:r>
        <w:rPr>
          <w:rFonts w:ascii="Arial" w:hAnsi="Arial" w:cs="Arial"/>
          <w:b/>
        </w:rPr>
        <w:t xml:space="preserve"> </w:t>
      </w:r>
      <w:r w:rsidRPr="00E92F02">
        <w:rPr>
          <w:rFonts w:ascii="Arial" w:hAnsi="Arial" w:cs="Arial"/>
          <w:b/>
        </w:rPr>
        <w:t>zvolit tým pro děti a mládež.</w:t>
      </w:r>
    </w:p>
    <w:p w:rsidR="00D168B3" w:rsidRDefault="00D168B3" w:rsidP="00E92F02">
      <w:pPr>
        <w:jc w:val="both"/>
        <w:rPr>
          <w:rFonts w:ascii="Arial" w:hAnsi="Arial" w:cs="Arial"/>
          <w:b/>
          <w:sz w:val="24"/>
          <w:szCs w:val="24"/>
        </w:rPr>
      </w:pPr>
    </w:p>
    <w:p w:rsidR="00E92F02" w:rsidRDefault="0004398C" w:rsidP="00E92F02">
      <w:pPr>
        <w:pStyle w:val="Zkladntext"/>
        <w:spacing w:after="200" w:line="276" w:lineRule="auto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</w:t>
      </w:r>
      <w:r w:rsidR="00E92F02">
        <w:rPr>
          <w:rFonts w:ascii="Arial" w:hAnsi="Arial"/>
          <w:sz w:val="22"/>
          <w:szCs w:val="22"/>
        </w:rPr>
        <w:t>. Spolupráce v oblasti prevence kriminality</w:t>
      </w:r>
    </w:p>
    <w:p w:rsidR="00E92F02" w:rsidRDefault="00E92F02" w:rsidP="00E92F02">
      <w:pPr>
        <w:pStyle w:val="Zkladntext"/>
        <w:spacing w:after="200" w:line="276" w:lineRule="auto"/>
        <w:jc w:val="both"/>
        <w:rPr>
          <w:rFonts w:ascii="Arial" w:hAnsi="Arial"/>
          <w:sz w:val="22"/>
          <w:szCs w:val="22"/>
        </w:rPr>
      </w:pPr>
    </w:p>
    <w:p w:rsidR="00E92F02" w:rsidRDefault="00E92F02" w:rsidP="00E92F02">
      <w:pPr>
        <w:pStyle w:val="Zkladntext"/>
        <w:spacing w:after="200"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Zástupce orgánu sociálně-právní ochrany je členem pracovní skupiny pro prevenci kriminality Kraje Vysočina a členem pracovní skupiny pro elektronickou bezpečnost. </w:t>
      </w:r>
    </w:p>
    <w:p w:rsidR="00E92F02" w:rsidRDefault="00E92F02" w:rsidP="00E92F02">
      <w:pPr>
        <w:pStyle w:val="Zkladntext"/>
        <w:spacing w:after="200" w:line="276" w:lineRule="auto"/>
        <w:jc w:val="both"/>
        <w:rPr>
          <w:rFonts w:ascii="Arial" w:hAnsi="Arial"/>
          <w:sz w:val="22"/>
          <w:szCs w:val="22"/>
        </w:rPr>
      </w:pPr>
    </w:p>
    <w:p w:rsidR="00E92F02" w:rsidRDefault="0004398C" w:rsidP="00E92F02">
      <w:pPr>
        <w:pStyle w:val="Zkladntext"/>
        <w:spacing w:after="200" w:line="276" w:lineRule="auto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2</w:t>
      </w:r>
      <w:r w:rsidR="00E92F02">
        <w:rPr>
          <w:rFonts w:ascii="Arial" w:hAnsi="Arial"/>
          <w:sz w:val="22"/>
          <w:szCs w:val="22"/>
        </w:rPr>
        <w:t>. Spolupráce v oblasti školství</w:t>
      </w:r>
    </w:p>
    <w:p w:rsidR="00E92F02" w:rsidRDefault="00E92F02" w:rsidP="00E92F02">
      <w:pPr>
        <w:pStyle w:val="Zkladntext"/>
        <w:spacing w:after="200"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Zástupce orgánu sociálně-právní ochrany se pravidelně účastní metodických porad pořádaných odborem školství, mládeže a sportu pro jimi řízené odvětvové příspěvkové organizace (střední školy, dětské domovy, pedagogicko-psychologické poradny). </w:t>
      </w:r>
    </w:p>
    <w:p w:rsidR="00E92F02" w:rsidRDefault="00E92F02" w:rsidP="00E92F02">
      <w:pPr>
        <w:pStyle w:val="Zkladntext"/>
        <w:spacing w:after="200" w:line="276" w:lineRule="auto"/>
        <w:jc w:val="both"/>
        <w:rPr>
          <w:rFonts w:ascii="Arial" w:hAnsi="Arial"/>
          <w:sz w:val="22"/>
          <w:szCs w:val="22"/>
        </w:rPr>
      </w:pPr>
    </w:p>
    <w:p w:rsidR="00E92F02" w:rsidRDefault="0004398C" w:rsidP="00E92F02">
      <w:pPr>
        <w:pStyle w:val="Zkladntext"/>
        <w:spacing w:after="200" w:line="276" w:lineRule="auto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3</w:t>
      </w:r>
      <w:r w:rsidR="00E92F02">
        <w:rPr>
          <w:rFonts w:ascii="Arial" w:hAnsi="Arial"/>
          <w:sz w:val="22"/>
          <w:szCs w:val="22"/>
        </w:rPr>
        <w:t>. Spolupráce s dalšími subjekty</w:t>
      </w:r>
    </w:p>
    <w:p w:rsidR="00094B7A" w:rsidRPr="00E92F02" w:rsidRDefault="00E92F02" w:rsidP="00E92F02">
      <w:pPr>
        <w:pStyle w:val="Zkladntext"/>
        <w:spacing w:after="200"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Krajský úřad zve na přenášky, semináře, konference, metodické porady a další akce zástupce spolupracujících subjektů (kolegy z odvětvových odborů krajského úřadu, zástupce neziskových organizací, středisek Probační a mediační služby, okresních soudů apod.). </w:t>
      </w:r>
    </w:p>
    <w:sectPr w:rsidR="00094B7A" w:rsidRPr="00E92F0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2BC2" w:rsidRDefault="00762BC2" w:rsidP="008425CE">
      <w:pPr>
        <w:spacing w:after="0" w:line="240" w:lineRule="auto"/>
      </w:pPr>
      <w:r>
        <w:separator/>
      </w:r>
    </w:p>
  </w:endnote>
  <w:endnote w:type="continuationSeparator" w:id="0">
    <w:p w:rsidR="00762BC2" w:rsidRDefault="00762BC2" w:rsidP="00842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1AFE" w:rsidRPr="002719D5" w:rsidRDefault="00051AFE" w:rsidP="00051AFE">
    <w:pPr>
      <w:pStyle w:val="Zpat"/>
      <w:rPr>
        <w:rFonts w:ascii="Arial" w:hAnsi="Arial" w:cs="Arial"/>
        <w:color w:val="808080"/>
        <w:sz w:val="20"/>
        <w:szCs w:val="20"/>
      </w:rPr>
    </w:pPr>
    <w:r>
      <w:rPr>
        <w:rFonts w:ascii="Arial" w:hAnsi="Arial" w:cs="Arial"/>
        <w:color w:val="808080"/>
        <w:sz w:val="20"/>
        <w:szCs w:val="20"/>
      </w:rPr>
      <w:t xml:space="preserve">               </w:t>
    </w:r>
    <w:r w:rsidRPr="002719D5">
      <w:rPr>
        <w:rFonts w:ascii="Arial" w:hAnsi="Arial" w:cs="Arial"/>
        <w:color w:val="808080"/>
        <w:sz w:val="20"/>
        <w:szCs w:val="20"/>
      </w:rPr>
      <w:t>TENTO PROJEKT JE SPOLUFINANCOVÁN EVROPSKÝM SOCIÁLNÍM FONDEM</w:t>
    </w:r>
  </w:p>
  <w:p w:rsidR="008425CE" w:rsidRDefault="00051AFE" w:rsidP="00051AFE">
    <w:pPr>
      <w:pStyle w:val="Zpat"/>
    </w:pPr>
    <w:r w:rsidRPr="002719D5">
      <w:rPr>
        <w:rFonts w:ascii="Arial" w:hAnsi="Arial" w:cs="Arial"/>
        <w:color w:val="808080"/>
        <w:sz w:val="20"/>
        <w:szCs w:val="20"/>
      </w:rPr>
      <w:t xml:space="preserve">     </w:t>
    </w:r>
    <w:r>
      <w:rPr>
        <w:rFonts w:ascii="Arial" w:hAnsi="Arial" w:cs="Arial"/>
        <w:color w:val="808080"/>
        <w:sz w:val="20"/>
        <w:szCs w:val="20"/>
      </w:rPr>
      <w:t xml:space="preserve">                          </w:t>
    </w:r>
    <w:r w:rsidRPr="002719D5">
      <w:rPr>
        <w:rFonts w:ascii="Arial" w:hAnsi="Arial" w:cs="Arial"/>
        <w:color w:val="808080"/>
        <w:sz w:val="20"/>
        <w:szCs w:val="20"/>
      </w:rPr>
      <w:t>PROSTŘEDNICTVÍM</w:t>
    </w:r>
    <w:r>
      <w:rPr>
        <w:rFonts w:ascii="Arial" w:hAnsi="Arial" w:cs="Arial"/>
        <w:color w:val="808080"/>
        <w:sz w:val="20"/>
        <w:szCs w:val="20"/>
      </w:rPr>
      <w:t xml:space="preserve"> OP LZZ A STÁTNÍM ROZPOČTEM ČR.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2BC2" w:rsidRDefault="00762BC2" w:rsidP="008425CE">
      <w:pPr>
        <w:spacing w:after="0" w:line="240" w:lineRule="auto"/>
      </w:pPr>
      <w:r>
        <w:separator/>
      </w:r>
    </w:p>
  </w:footnote>
  <w:footnote w:type="continuationSeparator" w:id="0">
    <w:p w:rsidR="00762BC2" w:rsidRDefault="00762BC2" w:rsidP="008425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1AFE" w:rsidRDefault="00051AFE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64135</wp:posOffset>
          </wp:positionH>
          <wp:positionV relativeFrom="paragraph">
            <wp:posOffset>-187960</wp:posOffset>
          </wp:positionV>
          <wp:extent cx="5762625" cy="447675"/>
          <wp:effectExtent l="0" t="0" r="9525" b="9525"/>
          <wp:wrapSquare wrapText="right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6"/>
    <w:multiLevelType w:val="multilevel"/>
    <w:tmpl w:val="00000006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1F8974E7"/>
    <w:multiLevelType w:val="hybridMultilevel"/>
    <w:tmpl w:val="0082E7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E03E15"/>
    <w:multiLevelType w:val="hybridMultilevel"/>
    <w:tmpl w:val="DFF8E7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EE7CBE"/>
    <w:multiLevelType w:val="hybridMultilevel"/>
    <w:tmpl w:val="FC8C1C06"/>
    <w:lvl w:ilvl="0" w:tplc="CBCA870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EC7F2D"/>
    <w:multiLevelType w:val="hybridMultilevel"/>
    <w:tmpl w:val="4A449994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578C6083"/>
    <w:multiLevelType w:val="hybridMultilevel"/>
    <w:tmpl w:val="9848AB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F17F67"/>
    <w:multiLevelType w:val="hybridMultilevel"/>
    <w:tmpl w:val="DEECA7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F41820"/>
    <w:multiLevelType w:val="hybridMultilevel"/>
    <w:tmpl w:val="9794A66A"/>
    <w:lvl w:ilvl="0" w:tplc="00000001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6721BE"/>
    <w:multiLevelType w:val="hybridMultilevel"/>
    <w:tmpl w:val="5D282A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022D91"/>
    <w:multiLevelType w:val="hybridMultilevel"/>
    <w:tmpl w:val="977608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8855E6"/>
    <w:multiLevelType w:val="hybridMultilevel"/>
    <w:tmpl w:val="5576FA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4"/>
  </w:num>
  <w:num w:numId="4">
    <w:abstractNumId w:val="8"/>
  </w:num>
  <w:num w:numId="5">
    <w:abstractNumId w:val="12"/>
  </w:num>
  <w:num w:numId="6">
    <w:abstractNumId w:val="3"/>
  </w:num>
  <w:num w:numId="7">
    <w:abstractNumId w:val="10"/>
  </w:num>
  <w:num w:numId="8">
    <w:abstractNumId w:val="7"/>
  </w:num>
  <w:num w:numId="9">
    <w:abstractNumId w:val="0"/>
  </w:num>
  <w:num w:numId="10">
    <w:abstractNumId w:val="1"/>
  </w:num>
  <w:num w:numId="11">
    <w:abstractNumId w:val="2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4AB"/>
    <w:rsid w:val="000039B1"/>
    <w:rsid w:val="00014AE5"/>
    <w:rsid w:val="0004398C"/>
    <w:rsid w:val="00051AFE"/>
    <w:rsid w:val="00056A08"/>
    <w:rsid w:val="00086F3B"/>
    <w:rsid w:val="00094B7A"/>
    <w:rsid w:val="000C436F"/>
    <w:rsid w:val="000D4845"/>
    <w:rsid w:val="000E1F38"/>
    <w:rsid w:val="000E771D"/>
    <w:rsid w:val="00112D46"/>
    <w:rsid w:val="00195512"/>
    <w:rsid w:val="001C101F"/>
    <w:rsid w:val="001D2041"/>
    <w:rsid w:val="001D7EFF"/>
    <w:rsid w:val="00244DFC"/>
    <w:rsid w:val="003179CF"/>
    <w:rsid w:val="00494644"/>
    <w:rsid w:val="00612C94"/>
    <w:rsid w:val="00681473"/>
    <w:rsid w:val="006A2095"/>
    <w:rsid w:val="00704797"/>
    <w:rsid w:val="007322EF"/>
    <w:rsid w:val="00762BC2"/>
    <w:rsid w:val="00774708"/>
    <w:rsid w:val="008104D1"/>
    <w:rsid w:val="008425CE"/>
    <w:rsid w:val="00876F03"/>
    <w:rsid w:val="00895127"/>
    <w:rsid w:val="008C17B3"/>
    <w:rsid w:val="008C7E9D"/>
    <w:rsid w:val="00921156"/>
    <w:rsid w:val="0092480E"/>
    <w:rsid w:val="009A04F0"/>
    <w:rsid w:val="00A32B54"/>
    <w:rsid w:val="00A66928"/>
    <w:rsid w:val="00AB5C2F"/>
    <w:rsid w:val="00AE66C6"/>
    <w:rsid w:val="00B00AE8"/>
    <w:rsid w:val="00B04A5D"/>
    <w:rsid w:val="00B563BF"/>
    <w:rsid w:val="00B744AB"/>
    <w:rsid w:val="00B83D69"/>
    <w:rsid w:val="00BC17E9"/>
    <w:rsid w:val="00C02939"/>
    <w:rsid w:val="00C046E7"/>
    <w:rsid w:val="00C94545"/>
    <w:rsid w:val="00D046CF"/>
    <w:rsid w:val="00D05E21"/>
    <w:rsid w:val="00D16013"/>
    <w:rsid w:val="00D168B3"/>
    <w:rsid w:val="00D256FF"/>
    <w:rsid w:val="00D7019F"/>
    <w:rsid w:val="00DF5C4D"/>
    <w:rsid w:val="00E27FEA"/>
    <w:rsid w:val="00E92F02"/>
    <w:rsid w:val="00EB578B"/>
    <w:rsid w:val="00EF3B17"/>
    <w:rsid w:val="00F70004"/>
    <w:rsid w:val="00FB0BEB"/>
    <w:rsid w:val="00FD0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7A3E9D"/>
  <w15:docId w15:val="{24A2ED2D-604F-4176-833E-152E55F21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21156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19551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9551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9551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9551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9551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95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551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42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425CE"/>
  </w:style>
  <w:style w:type="paragraph" w:styleId="Zpat">
    <w:name w:val="footer"/>
    <w:basedOn w:val="Normln"/>
    <w:link w:val="ZpatChar"/>
    <w:unhideWhenUsed/>
    <w:rsid w:val="00842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8425CE"/>
  </w:style>
  <w:style w:type="character" w:styleId="Hypertextovodkaz">
    <w:name w:val="Hyperlink"/>
    <w:basedOn w:val="Standardnpsmoodstavce"/>
    <w:uiPriority w:val="99"/>
    <w:unhideWhenUsed/>
    <w:rsid w:val="00094B7A"/>
    <w:rPr>
      <w:color w:val="0000FF" w:themeColor="hyperlink"/>
      <w:u w:val="single"/>
    </w:rPr>
  </w:style>
  <w:style w:type="paragraph" w:styleId="Zkladntext">
    <w:name w:val="Body Text"/>
    <w:basedOn w:val="Normln"/>
    <w:link w:val="ZkladntextChar"/>
    <w:rsid w:val="00E92F02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E92F0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lnweb">
    <w:name w:val="Normal (Web)"/>
    <w:basedOn w:val="Normln"/>
    <w:rsid w:val="00E92F0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0B727-FBF7-49DD-8AAD-4559F5490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1444</Words>
  <Characters>8523</Characters>
  <Application>Microsoft Office Word</Application>
  <DocSecurity>0</DocSecurity>
  <Lines>71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Kraje Vysočina</Company>
  <LinksUpToDate>false</LinksUpToDate>
  <CharactersWithSpaces>9948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Benešová Marie Mgr.</dc:creator>
  <cp:lastModifiedBy>Kafka Jiří Bc.</cp:lastModifiedBy>
  <cp:revision>2</cp:revision>
  <cp:lastPrinted>2015-02-14T17:32:00Z</cp:lastPrinted>
  <dcterms:created xsi:type="dcterms:W3CDTF">2022-09-05T12:05:00Z</dcterms:created>
  <dcterms:modified xsi:type="dcterms:W3CDTF">2022-09-05T12:05:00Z</dcterms:modified>
</cp:coreProperties>
</file>